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34E2A" w14:textId="40F23ED6" w:rsidR="00300EFB" w:rsidRPr="00806C94" w:rsidRDefault="00300EFB" w:rsidP="006443D6">
      <w:pPr>
        <w:widowControl w:val="0"/>
        <w:tabs>
          <w:tab w:val="left" w:pos="2240"/>
        </w:tabs>
        <w:autoSpaceDE w:val="0"/>
        <w:autoSpaceDN w:val="0"/>
        <w:adjustRightInd w:val="0"/>
        <w:jc w:val="both"/>
        <w:rPr>
          <w:rFonts w:ascii="Times" w:hAnsi="Times" w:cs="Plantagenet Cherokee"/>
          <w:sz w:val="24"/>
          <w:lang w:val="en-US"/>
        </w:rPr>
      </w:pPr>
    </w:p>
    <w:p w14:paraId="0352E94F" w14:textId="77777777" w:rsidR="00806C94" w:rsidRPr="00806C94" w:rsidRDefault="00806C94" w:rsidP="00806C94">
      <w:pPr>
        <w:jc w:val="center"/>
        <w:rPr>
          <w:rFonts w:ascii="Times" w:hAnsi="Times"/>
          <w:b/>
          <w:bCs/>
          <w:sz w:val="24"/>
          <w:lang w:val="en-US"/>
        </w:rPr>
      </w:pPr>
      <w:r w:rsidRPr="00806C94">
        <w:rPr>
          <w:rFonts w:ascii="Times" w:hAnsi="Times"/>
          <w:b/>
          <w:bCs/>
          <w:sz w:val="24"/>
          <w:lang w:val="en-US"/>
        </w:rPr>
        <w:t xml:space="preserve">WHO Working document for the development </w:t>
      </w:r>
      <w:proofErr w:type="gramStart"/>
      <w:r w:rsidRPr="00806C94">
        <w:rPr>
          <w:rFonts w:ascii="Times" w:hAnsi="Times"/>
          <w:b/>
          <w:bCs/>
          <w:sz w:val="24"/>
          <w:lang w:val="en-US"/>
        </w:rPr>
        <w:t>of</w:t>
      </w:r>
      <w:proofErr w:type="gramEnd"/>
    </w:p>
    <w:p w14:paraId="1ECD389E" w14:textId="77777777" w:rsidR="00806C94" w:rsidRPr="00806C94" w:rsidRDefault="00806C94" w:rsidP="00806C94">
      <w:pPr>
        <w:jc w:val="center"/>
        <w:rPr>
          <w:rFonts w:ascii="Times" w:hAnsi="Times"/>
          <w:b/>
          <w:bCs/>
          <w:sz w:val="24"/>
          <w:lang w:val="en-US"/>
        </w:rPr>
      </w:pPr>
      <w:r w:rsidRPr="00806C94">
        <w:rPr>
          <w:rFonts w:ascii="Times" w:hAnsi="Times"/>
          <w:b/>
          <w:bCs/>
          <w:sz w:val="24"/>
          <w:lang w:val="en-US"/>
        </w:rPr>
        <w:t>an action plan to strengthen the implementation of the</w:t>
      </w:r>
    </w:p>
    <w:p w14:paraId="4201D2BA" w14:textId="77777777" w:rsidR="00806C94" w:rsidRPr="00806C94" w:rsidRDefault="00806C94" w:rsidP="00806C94">
      <w:pPr>
        <w:jc w:val="center"/>
        <w:rPr>
          <w:rFonts w:ascii="Times" w:hAnsi="Times"/>
          <w:b/>
          <w:bCs/>
          <w:sz w:val="24"/>
          <w:lang w:val="en-US"/>
        </w:rPr>
      </w:pPr>
      <w:r w:rsidRPr="00806C94">
        <w:rPr>
          <w:rFonts w:ascii="Times" w:hAnsi="Times"/>
          <w:b/>
          <w:bCs/>
          <w:sz w:val="24"/>
          <w:lang w:val="en-US"/>
        </w:rPr>
        <w:t>Global Strategy to Reduce the Harmful Use of Alcohol</w:t>
      </w:r>
    </w:p>
    <w:p w14:paraId="5AFE056E" w14:textId="6C445E25" w:rsidR="00806C94" w:rsidRDefault="00806C94" w:rsidP="00806C94">
      <w:pPr>
        <w:jc w:val="center"/>
        <w:rPr>
          <w:rFonts w:ascii="Times" w:hAnsi="Times"/>
          <w:b/>
          <w:bCs/>
          <w:sz w:val="24"/>
          <w:lang w:val="en-US"/>
        </w:rPr>
      </w:pPr>
    </w:p>
    <w:p w14:paraId="15DC9E2A" w14:textId="77777777" w:rsidR="00806C94" w:rsidRPr="00806C94" w:rsidRDefault="00806C94" w:rsidP="00806C94">
      <w:pPr>
        <w:jc w:val="center"/>
        <w:rPr>
          <w:rFonts w:ascii="Times" w:hAnsi="Times"/>
          <w:b/>
          <w:bCs/>
          <w:sz w:val="24"/>
          <w:lang w:val="en-US"/>
        </w:rPr>
      </w:pPr>
    </w:p>
    <w:p w14:paraId="5E234153" w14:textId="77777777" w:rsidR="00806C94" w:rsidRPr="00806C94" w:rsidRDefault="00806C94" w:rsidP="00806C94">
      <w:pPr>
        <w:jc w:val="center"/>
        <w:rPr>
          <w:rFonts w:ascii="Times" w:hAnsi="Times"/>
          <w:b/>
          <w:bCs/>
          <w:sz w:val="24"/>
          <w:lang w:val="en-US"/>
        </w:rPr>
      </w:pPr>
      <w:r w:rsidRPr="00806C94">
        <w:rPr>
          <w:rFonts w:ascii="Times" w:hAnsi="Times"/>
          <w:b/>
          <w:bCs/>
          <w:sz w:val="24"/>
          <w:lang w:val="en-US"/>
        </w:rPr>
        <w:t>WMA COMMENTS</w:t>
      </w:r>
    </w:p>
    <w:p w14:paraId="098DEA5E" w14:textId="5A0D6C97" w:rsidR="00806C94" w:rsidRDefault="00806C94" w:rsidP="00806C94">
      <w:pPr>
        <w:rPr>
          <w:rFonts w:ascii="Times" w:hAnsi="Times"/>
          <w:sz w:val="24"/>
          <w:lang w:val="en-US"/>
        </w:rPr>
      </w:pPr>
    </w:p>
    <w:p w14:paraId="500BB5A5" w14:textId="77777777" w:rsidR="00806C94" w:rsidRPr="00806C94" w:rsidRDefault="00806C94" w:rsidP="00806C94">
      <w:pPr>
        <w:rPr>
          <w:rFonts w:ascii="Times" w:hAnsi="Times"/>
          <w:sz w:val="24"/>
          <w:lang w:val="en-US"/>
        </w:rPr>
      </w:pPr>
    </w:p>
    <w:p w14:paraId="2464CA21" w14:textId="77777777" w:rsidR="00806C94" w:rsidRPr="00806C94" w:rsidRDefault="00806C94" w:rsidP="00806C94">
      <w:pPr>
        <w:spacing w:line="280" w:lineRule="exact"/>
        <w:rPr>
          <w:rFonts w:ascii="Times" w:hAnsi="Times"/>
          <w:color w:val="333333"/>
          <w:sz w:val="24"/>
          <w:shd w:val="clear" w:color="auto" w:fill="FFFFFF"/>
          <w:lang w:val="en-US"/>
        </w:rPr>
      </w:pPr>
      <w:r w:rsidRPr="00806C94">
        <w:rPr>
          <w:rFonts w:ascii="Times" w:hAnsi="Times"/>
          <w:sz w:val="24"/>
          <w:lang w:val="en-US"/>
        </w:rPr>
        <w:t xml:space="preserve">The World Medical Association (WMA), the global federation of Medical Associations representing the millions of physicians worldwide, has a </w:t>
      </w:r>
      <w:hyperlink r:id="rId8" w:history="1">
        <w:r w:rsidRPr="00806C94">
          <w:rPr>
            <w:rStyle w:val="Lienhypertexte"/>
            <w:rFonts w:ascii="Times" w:hAnsi="Times"/>
            <w:sz w:val="24"/>
            <w:lang w:val="en-US"/>
          </w:rPr>
          <w:t>long-standing commitment</w:t>
        </w:r>
      </w:hyperlink>
      <w:r w:rsidRPr="00806C94">
        <w:rPr>
          <w:rFonts w:ascii="Times" w:hAnsi="Times"/>
          <w:sz w:val="24"/>
          <w:lang w:val="en-US"/>
        </w:rPr>
        <w:t xml:space="preserve"> towards the reduction of the harmful impact of alcohol on health and society and actively supported the adoption of WHO </w:t>
      </w:r>
      <w:r w:rsidRPr="00806C94">
        <w:rPr>
          <w:rFonts w:ascii="Times" w:hAnsi="Times"/>
          <w:color w:val="333333"/>
          <w:sz w:val="24"/>
          <w:shd w:val="clear" w:color="auto" w:fill="FFFFFF"/>
          <w:lang w:val="en-US"/>
        </w:rPr>
        <w:t xml:space="preserve">Global strategy to reduce the harmful use of alcohol in 2010. </w:t>
      </w:r>
      <w:r w:rsidRPr="00806C94">
        <w:rPr>
          <w:rFonts w:ascii="Times" w:hAnsi="Times"/>
          <w:sz w:val="24"/>
          <w:lang w:val="en-US"/>
        </w:rPr>
        <w:t>Alcohol consumption constitutes a major trigger for Non-Communicable Diseases (NCD), communicable diseases, violence, and injuries and we note with great concerns the limited progress made to reverse the current trend since 2010.</w:t>
      </w:r>
    </w:p>
    <w:p w14:paraId="49AB0D62" w14:textId="4BAC7A50" w:rsidR="00806C94" w:rsidRDefault="00806C94" w:rsidP="00806C94">
      <w:pPr>
        <w:rPr>
          <w:rFonts w:ascii="Times" w:hAnsi="Times"/>
          <w:sz w:val="24"/>
          <w:lang w:val="en-US"/>
        </w:rPr>
      </w:pPr>
    </w:p>
    <w:p w14:paraId="32DD2CB9" w14:textId="77777777" w:rsidR="00806C94" w:rsidRPr="00806C94" w:rsidRDefault="00806C94" w:rsidP="00806C94">
      <w:pPr>
        <w:rPr>
          <w:rFonts w:ascii="Times" w:hAnsi="Times"/>
          <w:sz w:val="24"/>
          <w:lang w:val="en-US"/>
        </w:rPr>
      </w:pPr>
    </w:p>
    <w:p w14:paraId="422D47B0" w14:textId="77777777" w:rsidR="00806C94" w:rsidRPr="00806C94" w:rsidRDefault="00806C94" w:rsidP="00806C94">
      <w:pPr>
        <w:rPr>
          <w:rFonts w:ascii="Times" w:hAnsi="Times"/>
          <w:b/>
          <w:bCs/>
          <w:sz w:val="24"/>
          <w:lang w:val="en-US"/>
        </w:rPr>
      </w:pPr>
      <w:r w:rsidRPr="00806C94">
        <w:rPr>
          <w:rFonts w:ascii="Times" w:hAnsi="Times"/>
          <w:b/>
          <w:bCs/>
          <w:sz w:val="24"/>
          <w:lang w:val="en-US"/>
        </w:rPr>
        <w:t>General comments</w:t>
      </w:r>
    </w:p>
    <w:p w14:paraId="5E23F1AB" w14:textId="77777777" w:rsidR="00806C94" w:rsidRPr="00806C94" w:rsidRDefault="00806C94" w:rsidP="00806C94">
      <w:pPr>
        <w:rPr>
          <w:rFonts w:ascii="Times" w:hAnsi="Times"/>
          <w:sz w:val="24"/>
          <w:lang w:val="en-US"/>
        </w:rPr>
      </w:pPr>
    </w:p>
    <w:p w14:paraId="23FB18F2" w14:textId="6E541E6C" w:rsidR="00806C94" w:rsidRPr="00806C94" w:rsidRDefault="00806C94" w:rsidP="00806C94">
      <w:pPr>
        <w:spacing w:line="280" w:lineRule="exact"/>
        <w:rPr>
          <w:rFonts w:ascii="Times" w:hAnsi="Times"/>
          <w:sz w:val="24"/>
          <w:lang w:val="en-US"/>
        </w:rPr>
      </w:pPr>
      <w:r w:rsidRPr="00806C94">
        <w:rPr>
          <w:rFonts w:ascii="Times" w:hAnsi="Times"/>
          <w:sz w:val="24"/>
          <w:lang w:val="en-US"/>
        </w:rPr>
        <w:t xml:space="preserve">We welcome WHO consultation on its </w:t>
      </w:r>
      <w:hyperlink r:id="rId9" w:history="1">
        <w:r w:rsidRPr="002563BE">
          <w:rPr>
            <w:rStyle w:val="Lienhypertexte"/>
            <w:rFonts w:ascii="Times" w:hAnsi="Times"/>
            <w:sz w:val="24"/>
            <w:lang w:val="en-US"/>
          </w:rPr>
          <w:t>working document for devel</w:t>
        </w:r>
        <w:bookmarkStart w:id="0" w:name="_GoBack"/>
        <w:bookmarkEnd w:id="0"/>
        <w:r w:rsidRPr="002563BE">
          <w:rPr>
            <w:rStyle w:val="Lienhypertexte"/>
            <w:rFonts w:ascii="Times" w:hAnsi="Times"/>
            <w:sz w:val="24"/>
            <w:lang w:val="en-US"/>
          </w:rPr>
          <w:t>o</w:t>
        </w:r>
        <w:r w:rsidRPr="002563BE">
          <w:rPr>
            <w:rStyle w:val="Lienhypertexte"/>
            <w:rFonts w:ascii="Times" w:hAnsi="Times"/>
            <w:sz w:val="24"/>
            <w:lang w:val="en-US"/>
          </w:rPr>
          <w:t>ping the global alcohol action plan</w:t>
        </w:r>
      </w:hyperlink>
      <w:r w:rsidRPr="00806C94">
        <w:rPr>
          <w:rFonts w:ascii="Times" w:hAnsi="Times"/>
          <w:sz w:val="24"/>
          <w:lang w:val="en-US"/>
        </w:rPr>
        <w:t xml:space="preserve"> and acknowledge the efforts made to develop a comprehensive framework encompassing all stakeholders concerned to tackle the alcohol burden weighing on public health and ultimately on health systems. We believe however that a more concise action plan would bring more clarity to the document.</w:t>
      </w:r>
    </w:p>
    <w:p w14:paraId="72F8BDFF" w14:textId="77777777" w:rsidR="00806C94" w:rsidRPr="00806C94" w:rsidRDefault="00806C94" w:rsidP="00806C94">
      <w:pPr>
        <w:spacing w:line="280" w:lineRule="exact"/>
        <w:rPr>
          <w:rFonts w:ascii="Times" w:hAnsi="Times"/>
          <w:sz w:val="24"/>
          <w:lang w:val="en-US"/>
        </w:rPr>
      </w:pPr>
    </w:p>
    <w:p w14:paraId="4B9DE7C8" w14:textId="77777777" w:rsidR="00806C94" w:rsidRPr="00806C94" w:rsidRDefault="00806C94" w:rsidP="00806C94">
      <w:pPr>
        <w:spacing w:line="280" w:lineRule="exact"/>
        <w:rPr>
          <w:rFonts w:ascii="Times" w:hAnsi="Times"/>
          <w:sz w:val="24"/>
          <w:lang w:val="en-US"/>
        </w:rPr>
      </w:pPr>
      <w:r w:rsidRPr="00806C94">
        <w:rPr>
          <w:rFonts w:ascii="Times" w:hAnsi="Times"/>
          <w:sz w:val="24"/>
          <w:lang w:val="en-US"/>
        </w:rPr>
        <w:t>We support the observation in the introduction section to the action plan recognizing that “</w:t>
      </w:r>
      <w:r w:rsidRPr="00806C94">
        <w:rPr>
          <w:rFonts w:ascii="Times" w:hAnsi="Times"/>
          <w:i/>
          <w:iCs/>
          <w:sz w:val="24"/>
          <w:lang w:val="en-US"/>
        </w:rPr>
        <w:t>limited technical capacity, human resources and funding hinder efforts in developing, implementing, enforcing and monitoring effective alcohol control interventions at all levels</w:t>
      </w:r>
      <w:r w:rsidRPr="00806C94">
        <w:rPr>
          <w:rFonts w:ascii="Times" w:hAnsi="Times"/>
          <w:sz w:val="24"/>
          <w:lang w:val="en-US"/>
        </w:rPr>
        <w:t>”</w:t>
      </w:r>
      <w:r w:rsidRPr="00806C94">
        <w:rPr>
          <w:rStyle w:val="Appelnotedebasdep"/>
          <w:rFonts w:ascii="Times" w:hAnsi="Times"/>
          <w:sz w:val="24"/>
          <w:lang w:val="en-US"/>
        </w:rPr>
        <w:footnoteReference w:id="1"/>
      </w:r>
      <w:r w:rsidRPr="00806C94">
        <w:rPr>
          <w:rFonts w:ascii="Times" w:hAnsi="Times"/>
          <w:sz w:val="24"/>
          <w:lang w:val="en-US"/>
        </w:rPr>
        <w:t xml:space="preserve"> and call for Member States to adequately fund WHO’s work on alcohol.</w:t>
      </w:r>
    </w:p>
    <w:p w14:paraId="03D1BF26" w14:textId="77777777" w:rsidR="00806C94" w:rsidRPr="00806C94" w:rsidRDefault="00806C94" w:rsidP="00806C94">
      <w:pPr>
        <w:spacing w:line="280" w:lineRule="exact"/>
        <w:rPr>
          <w:rFonts w:ascii="Times" w:hAnsi="Times"/>
          <w:sz w:val="24"/>
          <w:lang w:val="en-US"/>
        </w:rPr>
      </w:pPr>
    </w:p>
    <w:p w14:paraId="209EBFF7" w14:textId="77777777" w:rsidR="00806C94" w:rsidRPr="00806C94" w:rsidRDefault="00806C94" w:rsidP="00806C94">
      <w:pPr>
        <w:spacing w:line="280" w:lineRule="exact"/>
        <w:rPr>
          <w:rFonts w:ascii="Times" w:hAnsi="Times"/>
          <w:sz w:val="24"/>
          <w:lang w:val="en-US"/>
        </w:rPr>
      </w:pPr>
      <w:r w:rsidRPr="00806C94">
        <w:rPr>
          <w:rFonts w:ascii="Times" w:hAnsi="Times"/>
          <w:sz w:val="24"/>
          <w:lang w:val="en-US"/>
        </w:rPr>
        <w:t>In our opinion, the absence of specific review and reporting mechanism for the action plan’s implementation weakens its prospective impact. We recommend that a report to the World Health Assembly be made biennially to assess the progress made, as is the case with the tobacco status report.</w:t>
      </w:r>
    </w:p>
    <w:p w14:paraId="05373230" w14:textId="77777777" w:rsidR="00806C94" w:rsidRPr="00806C94" w:rsidRDefault="00806C94" w:rsidP="00806C94">
      <w:pPr>
        <w:spacing w:line="280" w:lineRule="exact"/>
        <w:rPr>
          <w:rFonts w:ascii="Times" w:hAnsi="Times"/>
          <w:sz w:val="24"/>
          <w:lang w:val="en-US"/>
        </w:rPr>
      </w:pPr>
    </w:p>
    <w:p w14:paraId="318D0B8B" w14:textId="77777777" w:rsidR="00806C94" w:rsidRPr="00806C94" w:rsidRDefault="00806C94" w:rsidP="00806C94">
      <w:pPr>
        <w:spacing w:line="280" w:lineRule="exact"/>
        <w:rPr>
          <w:rFonts w:ascii="Times" w:hAnsi="Times"/>
          <w:sz w:val="24"/>
          <w:lang w:val="en-US"/>
        </w:rPr>
      </w:pPr>
      <w:r w:rsidRPr="00806C94">
        <w:rPr>
          <w:rFonts w:ascii="Times" w:hAnsi="Times"/>
          <w:sz w:val="24"/>
          <w:lang w:val="en-US"/>
        </w:rPr>
        <w:t>We share the overall analysis of the challenges identified in implementing the Global Strategy. We note however a lack of consistency between those challenges and the actions proposed under the six areas of the action plan. We believe that a successful strategy to address the harmful use of alcohol requires stronger and more tangible commitments and actions in the following areas:</w:t>
      </w:r>
    </w:p>
    <w:p w14:paraId="0B009E81" w14:textId="77777777" w:rsidR="00806C94" w:rsidRPr="00806C94" w:rsidRDefault="00806C94" w:rsidP="00806C94">
      <w:pPr>
        <w:rPr>
          <w:rFonts w:ascii="Times" w:hAnsi="Times"/>
          <w:sz w:val="24"/>
          <w:lang w:val="en-US"/>
        </w:rPr>
      </w:pPr>
    </w:p>
    <w:p w14:paraId="31CD6786" w14:textId="77777777" w:rsidR="00806C94" w:rsidRPr="00806C94" w:rsidRDefault="00806C94" w:rsidP="00806C94">
      <w:pPr>
        <w:rPr>
          <w:rFonts w:ascii="Times" w:hAnsi="Times"/>
          <w:sz w:val="24"/>
          <w:lang w:val="en-US"/>
        </w:rPr>
      </w:pPr>
    </w:p>
    <w:p w14:paraId="30093D0C" w14:textId="77777777" w:rsidR="00806C94" w:rsidRPr="00806C94" w:rsidRDefault="00806C94" w:rsidP="00806C94">
      <w:pPr>
        <w:pStyle w:val="Paragraphedeliste"/>
        <w:numPr>
          <w:ilvl w:val="0"/>
          <w:numId w:val="4"/>
        </w:numPr>
        <w:rPr>
          <w:rFonts w:ascii="Times" w:hAnsi="Times"/>
          <w:b/>
          <w:bCs/>
          <w:lang w:val="en-US"/>
        </w:rPr>
      </w:pPr>
      <w:r w:rsidRPr="00806C94">
        <w:rPr>
          <w:rFonts w:ascii="Times" w:hAnsi="Times"/>
          <w:b/>
          <w:bCs/>
          <w:lang w:val="en-US"/>
        </w:rPr>
        <w:t>Placing health equity at the core of the action plan</w:t>
      </w:r>
    </w:p>
    <w:p w14:paraId="6D77C621" w14:textId="77777777" w:rsidR="00806C94" w:rsidRPr="00806C94" w:rsidRDefault="00806C94" w:rsidP="00806C94">
      <w:pPr>
        <w:pStyle w:val="NormalWeb"/>
        <w:spacing w:before="0" w:beforeAutospacing="0" w:after="0" w:afterAutospacing="0" w:line="280" w:lineRule="exact"/>
        <w:rPr>
          <w:rFonts w:ascii="Times" w:hAnsi="Times" w:cs="Arial"/>
          <w:color w:val="000000"/>
          <w:shd w:val="clear" w:color="auto" w:fill="FFFFFF"/>
          <w:lang w:val="en-GB"/>
        </w:rPr>
      </w:pPr>
    </w:p>
    <w:p w14:paraId="26F8D8D9" w14:textId="77777777" w:rsidR="00806C94" w:rsidRPr="00806C94" w:rsidRDefault="00806C94" w:rsidP="00806C94">
      <w:pPr>
        <w:pStyle w:val="NormalWeb"/>
        <w:spacing w:before="0" w:beforeAutospacing="0" w:after="0" w:afterAutospacing="0" w:line="280" w:lineRule="exact"/>
        <w:rPr>
          <w:rFonts w:ascii="Times" w:hAnsi="Times" w:cs="Arial"/>
          <w:color w:val="000000"/>
          <w:shd w:val="clear" w:color="auto" w:fill="FFFFFF"/>
          <w:lang w:val="en-US"/>
        </w:rPr>
      </w:pPr>
      <w:r w:rsidRPr="00806C94">
        <w:rPr>
          <w:rFonts w:ascii="Times" w:hAnsi="Times" w:cs="Arial"/>
          <w:color w:val="000000"/>
          <w:shd w:val="clear" w:color="auto" w:fill="FFFFFF"/>
          <w:lang w:val="en-GB"/>
        </w:rPr>
        <w:t>We welcome the point raised in the introduction section of the working document on the “</w:t>
      </w:r>
      <w:r w:rsidRPr="00806C94">
        <w:rPr>
          <w:rFonts w:ascii="Times" w:hAnsi="Times" w:cs="Arial"/>
          <w:i/>
          <w:iCs/>
          <w:color w:val="000000"/>
          <w:shd w:val="clear" w:color="auto" w:fill="FFFFFF"/>
          <w:lang w:val="en-US"/>
        </w:rPr>
        <w:t>disproportionate prevalence of effective alcohol control measures in higher-income countries</w:t>
      </w:r>
      <w:r w:rsidRPr="00806C94">
        <w:rPr>
          <w:rFonts w:ascii="Times" w:hAnsi="Times" w:cs="Arial"/>
          <w:color w:val="000000"/>
          <w:shd w:val="clear" w:color="auto" w:fill="FFFFFF"/>
          <w:lang w:val="en-US"/>
        </w:rPr>
        <w:t>”, raising questions about global health equity and agree on “</w:t>
      </w:r>
      <w:r w:rsidRPr="00806C94">
        <w:rPr>
          <w:rFonts w:ascii="Times" w:hAnsi="Times" w:cs="Arial"/>
          <w:i/>
          <w:iCs/>
          <w:color w:val="000000"/>
          <w:shd w:val="clear" w:color="auto" w:fill="FFFFFF"/>
          <w:lang w:val="en-US"/>
        </w:rPr>
        <w:t>the need for more resources and greater priority to be allocated to support the development and implementation of effective policies and actions in low- and middle-income countries</w:t>
      </w:r>
      <w:r w:rsidRPr="00806C94">
        <w:rPr>
          <w:rFonts w:ascii="Times" w:hAnsi="Times" w:cs="Arial"/>
          <w:color w:val="000000"/>
          <w:shd w:val="clear" w:color="auto" w:fill="FFFFFF"/>
          <w:lang w:val="en-US"/>
        </w:rPr>
        <w:t>”</w:t>
      </w:r>
      <w:r w:rsidRPr="00806C94">
        <w:rPr>
          <w:rStyle w:val="Appelnotedebasdep"/>
          <w:rFonts w:ascii="Times" w:hAnsi="Times" w:cs="Arial"/>
          <w:color w:val="000000"/>
          <w:shd w:val="clear" w:color="auto" w:fill="FFFFFF"/>
          <w:lang w:val="en-US"/>
        </w:rPr>
        <w:footnoteReference w:id="2"/>
      </w:r>
      <w:r w:rsidRPr="00806C94">
        <w:rPr>
          <w:rFonts w:ascii="Times" w:hAnsi="Times" w:cs="Arial"/>
          <w:color w:val="000000"/>
          <w:shd w:val="clear" w:color="auto" w:fill="FFFFFF"/>
          <w:lang w:val="en-US"/>
        </w:rPr>
        <w:t xml:space="preserve">. We regret that the action plan does not include more tangible actions to meet this requirement. </w:t>
      </w:r>
    </w:p>
    <w:p w14:paraId="33A3D639" w14:textId="77777777" w:rsidR="00806C94" w:rsidRPr="00806C94" w:rsidRDefault="00806C94" w:rsidP="00806C94">
      <w:pPr>
        <w:pStyle w:val="NormalWeb"/>
        <w:spacing w:before="0" w:beforeAutospacing="0" w:after="0" w:afterAutospacing="0" w:line="280" w:lineRule="exact"/>
        <w:rPr>
          <w:rFonts w:ascii="Times" w:hAnsi="Times" w:cs="Arial"/>
          <w:color w:val="000000"/>
          <w:shd w:val="clear" w:color="auto" w:fill="FFFFFF"/>
          <w:lang w:val="en-US"/>
        </w:rPr>
      </w:pPr>
    </w:p>
    <w:p w14:paraId="2F5E16EF"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GB"/>
        </w:rPr>
      </w:pPr>
      <w:r w:rsidRPr="00806C94">
        <w:rPr>
          <w:rFonts w:ascii="Times" w:hAnsi="Times" w:cs="Arial"/>
          <w:color w:val="000000"/>
          <w:shd w:val="clear" w:color="auto" w:fill="FFFFFF"/>
          <w:lang w:val="en-US"/>
        </w:rPr>
        <w:t xml:space="preserve">More generally, we recommend a stronger emphasis on health equity by placing it at the core of the action plan. </w:t>
      </w:r>
      <w:r w:rsidRPr="00806C94">
        <w:rPr>
          <w:rFonts w:ascii="Times" w:hAnsi="Times" w:cs="Arial"/>
          <w:color w:val="000000"/>
          <w:lang w:val="en-GB"/>
        </w:rPr>
        <w:t>Social, cultural, environmental and economic factors are major determinants on the quality of life, good health and life expectancy and have decisive impacts on alcohol consumption patterns.</w:t>
      </w:r>
    </w:p>
    <w:p w14:paraId="47A29A94"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GB"/>
        </w:rPr>
      </w:pPr>
    </w:p>
    <w:p w14:paraId="4410EBBE"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GB"/>
        </w:rPr>
      </w:pPr>
      <w:r w:rsidRPr="00806C94">
        <w:rPr>
          <w:rFonts w:ascii="Times" w:hAnsi="Times" w:cs="Arial"/>
          <w:color w:val="000000"/>
          <w:lang w:val="en-GB"/>
        </w:rPr>
        <w:t>Addressing the problematic of alcohol through a Social Determinants of Health (SDH) perspective requires looking at the root causes of alcohol behaviours. This is essential for the understanding of the problem and makes it possible to unveil health inequities which are often the primary source of addictive patterns and other alcohol abuses.</w:t>
      </w:r>
    </w:p>
    <w:p w14:paraId="5830B8E8"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GB"/>
        </w:rPr>
      </w:pPr>
    </w:p>
    <w:p w14:paraId="603270CC"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GB"/>
        </w:rPr>
      </w:pPr>
      <w:r w:rsidRPr="00806C94">
        <w:rPr>
          <w:rFonts w:ascii="Times" w:hAnsi="Times" w:cs="Arial"/>
          <w:color w:val="000000"/>
          <w:shd w:val="clear" w:color="auto" w:fill="FFFFFF"/>
          <w:lang w:val="en-GB"/>
        </w:rPr>
        <w:t>We believe therefore that it</w:t>
      </w:r>
      <w:r w:rsidRPr="00806C94">
        <w:rPr>
          <w:rFonts w:ascii="Times" w:hAnsi="Times" w:cs="Arial"/>
          <w:color w:val="000000"/>
          <w:shd w:val="clear" w:color="auto" w:fill="FFFFFF"/>
          <w:lang w:val="en-US"/>
        </w:rPr>
        <w:t xml:space="preserve"> is critical that health inequities are clearly identified in the action plan as major sources of alcohol abuses. This </w:t>
      </w:r>
      <w:r w:rsidRPr="00806C94">
        <w:rPr>
          <w:rFonts w:ascii="Times" w:hAnsi="Times" w:cs="Calibri"/>
          <w:lang w:val="en-US"/>
        </w:rPr>
        <w:t>would underscore the ethical and human rights principles as the founding values of the plan, beyond the health costs of the scourge.</w:t>
      </w:r>
    </w:p>
    <w:p w14:paraId="0A1E3E1F"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GB"/>
        </w:rPr>
      </w:pPr>
    </w:p>
    <w:p w14:paraId="4541CFFA"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GB"/>
        </w:rPr>
      </w:pPr>
    </w:p>
    <w:p w14:paraId="08D483D0" w14:textId="77777777" w:rsidR="00806C94" w:rsidRPr="00806C94" w:rsidRDefault="00806C94" w:rsidP="00806C94">
      <w:pPr>
        <w:pStyle w:val="Paragraphedeliste"/>
        <w:numPr>
          <w:ilvl w:val="0"/>
          <w:numId w:val="4"/>
        </w:numPr>
        <w:rPr>
          <w:rFonts w:ascii="Times" w:hAnsi="Times"/>
          <w:b/>
          <w:bCs/>
          <w:lang w:val="en-US"/>
        </w:rPr>
      </w:pPr>
      <w:r w:rsidRPr="00806C94">
        <w:rPr>
          <w:rFonts w:ascii="Times" w:hAnsi="Times"/>
          <w:b/>
          <w:bCs/>
          <w:lang w:val="en-US"/>
        </w:rPr>
        <w:t>Health professionals as partners in combatting the harmful use of alcohol</w:t>
      </w:r>
    </w:p>
    <w:p w14:paraId="5BD17BCE" w14:textId="77777777" w:rsidR="00806C94" w:rsidRPr="00806C94" w:rsidRDefault="00806C94" w:rsidP="00806C94">
      <w:pPr>
        <w:rPr>
          <w:rFonts w:ascii="Times" w:hAnsi="Times"/>
          <w:sz w:val="24"/>
          <w:lang w:val="en-US"/>
        </w:rPr>
      </w:pPr>
    </w:p>
    <w:p w14:paraId="0E87855A" w14:textId="77777777" w:rsidR="00806C94" w:rsidRPr="00806C94" w:rsidRDefault="00806C94" w:rsidP="00806C94">
      <w:pPr>
        <w:pStyle w:val="NormalWeb"/>
        <w:spacing w:before="0" w:beforeAutospacing="0" w:after="0" w:afterAutospacing="0" w:line="280" w:lineRule="exact"/>
        <w:rPr>
          <w:rFonts w:ascii="Times" w:hAnsi="Times" w:cs="Arial"/>
          <w:bCs/>
          <w:color w:val="000000"/>
          <w:shd w:val="clear" w:color="auto" w:fill="FFFFFF"/>
          <w:lang w:val="en-GB"/>
        </w:rPr>
      </w:pPr>
      <w:r w:rsidRPr="00806C94">
        <w:rPr>
          <w:rFonts w:ascii="Times" w:hAnsi="Times" w:cs="Arial"/>
          <w:bCs/>
          <w:color w:val="000000"/>
          <w:shd w:val="clear" w:color="auto" w:fill="FFFFFF"/>
          <w:lang w:val="en-GB"/>
        </w:rPr>
        <w:t>We welcome the actions proposed in the plan for the attention of health professionals, mainly related to capacity-building and education, but regret that their role in documenting and preventing alcohol abuses is not further developed. We note a clear disparity between the overwhelming consideration given to economic operators in the action plan compared to health professionals</w:t>
      </w:r>
      <w:r w:rsidRPr="00806C94">
        <w:rPr>
          <w:rStyle w:val="Appelnotedebasdep"/>
          <w:rFonts w:ascii="Times" w:hAnsi="Times" w:cs="Arial"/>
          <w:bCs/>
          <w:color w:val="000000"/>
          <w:shd w:val="clear" w:color="auto" w:fill="FFFFFF"/>
          <w:lang w:val="en-GB"/>
        </w:rPr>
        <w:footnoteReference w:id="3"/>
      </w:r>
      <w:r w:rsidRPr="00806C94">
        <w:rPr>
          <w:rFonts w:ascii="Times" w:hAnsi="Times" w:cs="Arial"/>
          <w:bCs/>
          <w:color w:val="000000"/>
          <w:shd w:val="clear" w:color="auto" w:fill="FFFFFF"/>
          <w:lang w:val="en-GB"/>
        </w:rPr>
        <w:t>. This variance seems to us particularly inadequate from a public health perspective.</w:t>
      </w:r>
    </w:p>
    <w:p w14:paraId="00137650" w14:textId="77777777" w:rsidR="00806C94" w:rsidRPr="00806C94" w:rsidRDefault="00806C94" w:rsidP="00806C94">
      <w:pPr>
        <w:pStyle w:val="NormalWeb"/>
        <w:spacing w:before="0" w:beforeAutospacing="0" w:after="0" w:afterAutospacing="0" w:line="280" w:lineRule="exact"/>
        <w:rPr>
          <w:rFonts w:ascii="Times" w:hAnsi="Times" w:cs="Arial"/>
          <w:bCs/>
          <w:color w:val="000000"/>
          <w:shd w:val="clear" w:color="auto" w:fill="FFFFFF"/>
          <w:lang w:val="en-GB"/>
        </w:rPr>
      </w:pPr>
    </w:p>
    <w:p w14:paraId="05AE796A"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US"/>
        </w:rPr>
      </w:pPr>
      <w:r w:rsidRPr="00806C94">
        <w:rPr>
          <w:rFonts w:ascii="Times" w:hAnsi="Times" w:cs="Arial"/>
          <w:color w:val="000000"/>
          <w:lang w:val="en-US"/>
        </w:rPr>
        <w:t xml:space="preserve">Physicians and other health professionals play a key role in education, advocacy and research. </w:t>
      </w:r>
      <w:proofErr w:type="spellStart"/>
      <w:r w:rsidRPr="00806C94">
        <w:rPr>
          <w:rFonts w:ascii="Times" w:hAnsi="Times" w:cs="Arial"/>
          <w:color w:val="000000"/>
        </w:rPr>
        <w:t>Physicians</w:t>
      </w:r>
      <w:proofErr w:type="spellEnd"/>
      <w:r w:rsidRPr="00806C94">
        <w:rPr>
          <w:rFonts w:ascii="Times" w:hAnsi="Times" w:cs="Arial"/>
          <w:color w:val="000000"/>
        </w:rPr>
        <w:t xml:space="preserve"> in </w:t>
      </w:r>
      <w:proofErr w:type="spellStart"/>
      <w:r w:rsidRPr="00806C94">
        <w:rPr>
          <w:rFonts w:ascii="Times" w:hAnsi="Times" w:cs="Arial"/>
          <w:color w:val="000000"/>
        </w:rPr>
        <w:t>particular</w:t>
      </w:r>
      <w:proofErr w:type="spellEnd"/>
      <w:r w:rsidRPr="00806C94">
        <w:rPr>
          <w:rFonts w:ascii="Times" w:hAnsi="Times" w:cs="Arial"/>
          <w:color w:val="000000"/>
        </w:rPr>
        <w:t xml:space="preserve"> </w:t>
      </w:r>
      <w:proofErr w:type="spellStart"/>
      <w:r w:rsidRPr="00806C94">
        <w:rPr>
          <w:rFonts w:ascii="Times" w:hAnsi="Times" w:cs="Arial"/>
          <w:color w:val="000000"/>
        </w:rPr>
        <w:t>work</w:t>
      </w:r>
      <w:proofErr w:type="spellEnd"/>
      <w:r w:rsidRPr="00806C94">
        <w:rPr>
          <w:rFonts w:ascii="Times" w:hAnsi="Times" w:cs="Arial"/>
          <w:color w:val="000000"/>
        </w:rPr>
        <w:t xml:space="preserve"> </w:t>
      </w:r>
      <w:proofErr w:type="spellStart"/>
      <w:r w:rsidRPr="00806C94">
        <w:rPr>
          <w:rFonts w:ascii="Times" w:hAnsi="Times" w:cs="Arial"/>
          <w:color w:val="000000"/>
        </w:rPr>
        <w:t>to</w:t>
      </w:r>
      <w:proofErr w:type="spellEnd"/>
      <w:r w:rsidRPr="00806C94">
        <w:rPr>
          <w:rFonts w:ascii="Times" w:hAnsi="Times" w:cs="Arial"/>
          <w:color w:val="000000"/>
        </w:rPr>
        <w:t xml:space="preserve"> r</w:t>
      </w:r>
      <w:r w:rsidRPr="00806C94">
        <w:rPr>
          <w:rFonts w:ascii="Times" w:hAnsi="Times" w:cs="Arial"/>
          <w:color w:val="000000"/>
          <w:lang w:val="en-US"/>
        </w:rPr>
        <w:t>educe the harmful use of alcohol by identifying early-stages of addictive behaviour in consultations with their patients and supporting them in changing behaviour in the framework of a trustworthy patients-physicians relationship. They can promote evidence-based prevention strategies in schools and communities and assist in informing the public of alcohol related harm. Physicians also have an important function in facilitating epidemiologic and health service data collection on the impact of alcohol with the aim of prevention and promotion of public health.</w:t>
      </w:r>
    </w:p>
    <w:p w14:paraId="11747A47"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US"/>
        </w:rPr>
      </w:pPr>
    </w:p>
    <w:p w14:paraId="3C83C1B7"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US"/>
        </w:rPr>
      </w:pPr>
      <w:r w:rsidRPr="00806C94">
        <w:rPr>
          <w:rFonts w:ascii="Times" w:hAnsi="Times" w:cs="Arial"/>
          <w:bCs/>
          <w:color w:val="000000"/>
          <w:shd w:val="clear" w:color="auto" w:fill="FFFFFF"/>
          <w:lang w:val="en-GB"/>
        </w:rPr>
        <w:t>We believe that those considerations are not sufficiently reflected in the proposed action plan and recommend its</w:t>
      </w:r>
      <w:r w:rsidRPr="00806C94">
        <w:rPr>
          <w:rFonts w:ascii="Times" w:hAnsi="Times" w:cs="Arial"/>
          <w:color w:val="000000"/>
          <w:lang w:val="en-US"/>
        </w:rPr>
        <w:t xml:space="preserve"> revision so that health professionals are considered as recognized </w:t>
      </w:r>
      <w:r w:rsidRPr="00806C94">
        <w:rPr>
          <w:rFonts w:ascii="Times" w:hAnsi="Times" w:cs="Arial"/>
          <w:bCs/>
          <w:color w:val="000000"/>
          <w:shd w:val="clear" w:color="auto" w:fill="FFFFFF"/>
          <w:lang w:val="en-GB"/>
        </w:rPr>
        <w:t>partners in tackling the alcohol affliction.</w:t>
      </w:r>
    </w:p>
    <w:p w14:paraId="25AB5B8C" w14:textId="77777777" w:rsidR="00806C94" w:rsidRPr="00806C94" w:rsidRDefault="00806C94" w:rsidP="00806C94">
      <w:pPr>
        <w:pStyle w:val="NormalWeb"/>
        <w:spacing w:before="0" w:beforeAutospacing="0" w:after="0" w:afterAutospacing="0" w:line="280" w:lineRule="exact"/>
        <w:rPr>
          <w:rFonts w:ascii="Times" w:hAnsi="Times" w:cs="Arial"/>
          <w:color w:val="000000"/>
          <w:lang w:val="en-US"/>
        </w:rPr>
      </w:pPr>
    </w:p>
    <w:p w14:paraId="39E3D7DC" w14:textId="77777777" w:rsidR="00806C94" w:rsidRPr="00806C94" w:rsidRDefault="00806C94" w:rsidP="00806C94">
      <w:pPr>
        <w:autoSpaceDE w:val="0"/>
        <w:autoSpaceDN w:val="0"/>
        <w:adjustRightInd w:val="0"/>
        <w:rPr>
          <w:rFonts w:ascii="Times" w:hAnsi="Times" w:cs="Calibri"/>
          <w:b/>
          <w:bCs/>
          <w:sz w:val="24"/>
          <w:lang w:val="en-US"/>
        </w:rPr>
      </w:pPr>
    </w:p>
    <w:p w14:paraId="74DCF021" w14:textId="77777777" w:rsidR="00806C94" w:rsidRPr="00806C94" w:rsidRDefault="00806C94" w:rsidP="00806C94">
      <w:pPr>
        <w:pStyle w:val="Paragraphedeliste"/>
        <w:numPr>
          <w:ilvl w:val="0"/>
          <w:numId w:val="4"/>
        </w:numPr>
        <w:rPr>
          <w:rFonts w:ascii="Times" w:hAnsi="Times" w:cs="Calibri"/>
          <w:b/>
          <w:bCs/>
          <w:lang w:val="en-US"/>
        </w:rPr>
      </w:pPr>
      <w:r w:rsidRPr="00806C94">
        <w:rPr>
          <w:rFonts w:ascii="Times" w:hAnsi="Times" w:cs="Calibri"/>
          <w:b/>
          <w:bCs/>
          <w:lang w:val="en-US"/>
        </w:rPr>
        <w:lastRenderedPageBreak/>
        <w:t>Protecting public health interests from commercial interference</w:t>
      </w:r>
    </w:p>
    <w:p w14:paraId="5AF520B1" w14:textId="77777777" w:rsidR="00806C94" w:rsidRPr="00806C94" w:rsidRDefault="00806C94" w:rsidP="00806C94">
      <w:pPr>
        <w:autoSpaceDE w:val="0"/>
        <w:autoSpaceDN w:val="0"/>
        <w:adjustRightInd w:val="0"/>
        <w:rPr>
          <w:rFonts w:ascii="Times" w:hAnsi="Times" w:cs="Calibri"/>
          <w:sz w:val="24"/>
          <w:lang w:val="en-US"/>
        </w:rPr>
      </w:pPr>
    </w:p>
    <w:p w14:paraId="08F40623" w14:textId="77777777" w:rsidR="00806C94" w:rsidRPr="00806C94" w:rsidRDefault="00806C94" w:rsidP="00806C94">
      <w:pPr>
        <w:autoSpaceDE w:val="0"/>
        <w:autoSpaceDN w:val="0"/>
        <w:adjustRightInd w:val="0"/>
        <w:rPr>
          <w:rFonts w:ascii="Times" w:hAnsi="Times" w:cs="Calibri"/>
          <w:sz w:val="24"/>
          <w:lang w:val="en-US"/>
        </w:rPr>
      </w:pPr>
      <w:r w:rsidRPr="00806C94">
        <w:rPr>
          <w:rFonts w:ascii="Times" w:hAnsi="Times" w:cs="Calibri"/>
          <w:sz w:val="24"/>
          <w:lang w:val="en-US"/>
        </w:rPr>
        <w:t>The working document identifies as one of the challenges in implementing the strategy “</w:t>
      </w:r>
      <w:r w:rsidRPr="00806C94">
        <w:rPr>
          <w:rFonts w:ascii="Times" w:hAnsi="Times" w:cs="Calibri"/>
          <w:i/>
          <w:iCs/>
          <w:sz w:val="24"/>
          <w:lang w:val="en-US"/>
        </w:rPr>
        <w:t>the influence of powerful commercial interests in policy-making and implementation (..) Competing interests across the whole of government at the country level, including interests related to the production and trade of alcohol and government revenues from alcohol taxation and sales, often result in policy incoherence and the weakening of alcohol control efforts”. “General trends towards deregulation in recent decades have often resulted in a weakening of alcohol controls, to the benefit of economic interests and to the expense of public health and welfare</w:t>
      </w:r>
      <w:r w:rsidRPr="00806C94">
        <w:rPr>
          <w:rFonts w:ascii="Times" w:hAnsi="Times" w:cs="Calibri"/>
          <w:sz w:val="24"/>
          <w:lang w:val="en-US"/>
        </w:rPr>
        <w:t>”</w:t>
      </w:r>
      <w:r w:rsidRPr="00806C94">
        <w:rPr>
          <w:rStyle w:val="Appelnotedebasdep"/>
          <w:rFonts w:ascii="Times" w:hAnsi="Times" w:cs="Calibri"/>
          <w:sz w:val="24"/>
          <w:lang w:val="en-US"/>
        </w:rPr>
        <w:footnoteReference w:id="4"/>
      </w:r>
      <w:r w:rsidRPr="00806C94">
        <w:rPr>
          <w:rFonts w:ascii="Times" w:hAnsi="Times" w:cs="Calibri"/>
          <w:sz w:val="24"/>
          <w:lang w:val="en-US"/>
        </w:rPr>
        <w:t>.</w:t>
      </w:r>
    </w:p>
    <w:p w14:paraId="149C2C68" w14:textId="77777777" w:rsidR="00806C94" w:rsidRPr="00806C94" w:rsidRDefault="00806C94" w:rsidP="00806C94">
      <w:pPr>
        <w:autoSpaceDE w:val="0"/>
        <w:autoSpaceDN w:val="0"/>
        <w:adjustRightInd w:val="0"/>
        <w:rPr>
          <w:rFonts w:ascii="Times" w:hAnsi="Times" w:cs="Calibri"/>
          <w:sz w:val="24"/>
          <w:lang w:val="en-US"/>
        </w:rPr>
      </w:pPr>
    </w:p>
    <w:p w14:paraId="46605464" w14:textId="77777777" w:rsidR="00806C94" w:rsidRPr="00806C94" w:rsidRDefault="00806C94" w:rsidP="00806C94">
      <w:pPr>
        <w:autoSpaceDE w:val="0"/>
        <w:autoSpaceDN w:val="0"/>
        <w:adjustRightInd w:val="0"/>
        <w:rPr>
          <w:rFonts w:ascii="Times" w:hAnsi="Times" w:cs="Calibri"/>
          <w:sz w:val="24"/>
          <w:lang w:val="en-US"/>
        </w:rPr>
      </w:pPr>
      <w:r w:rsidRPr="00806C94">
        <w:rPr>
          <w:rFonts w:ascii="Times" w:hAnsi="Times" w:cs="Calibri"/>
          <w:sz w:val="24"/>
          <w:lang w:val="en-US"/>
        </w:rPr>
        <w:t xml:space="preserve">We welcome this accurate analysis of the situation. Unfortunately, the conclusions are not followed by tangible actions later in the plan. The structure of the action plan includes an explicit role for economic operators suggesting that their contributions are authentic. Under each area of the plan, actions to the attention of economic actors are proposed with a view to </w:t>
      </w:r>
      <w:r w:rsidRPr="00806C94">
        <w:rPr>
          <w:rFonts w:ascii="Times" w:hAnsi="Times" w:cs="Calibri"/>
          <w:i/>
          <w:iCs/>
          <w:sz w:val="24"/>
          <w:lang w:val="en-US"/>
        </w:rPr>
        <w:t>contribute to</w:t>
      </w:r>
      <w:r w:rsidRPr="00806C94">
        <w:rPr>
          <w:rFonts w:ascii="Times" w:hAnsi="Times" w:cs="Calibri"/>
          <w:sz w:val="24"/>
          <w:lang w:val="en-US"/>
        </w:rPr>
        <w:t xml:space="preserve"> the reduction of alcohol burden or </w:t>
      </w:r>
      <w:r w:rsidRPr="00806C94">
        <w:rPr>
          <w:rFonts w:ascii="Times" w:hAnsi="Times" w:cs="Calibri"/>
          <w:i/>
          <w:iCs/>
          <w:sz w:val="24"/>
          <w:lang w:val="en-US"/>
        </w:rPr>
        <w:t>to refrain</w:t>
      </w:r>
      <w:r w:rsidRPr="00806C94">
        <w:rPr>
          <w:rFonts w:ascii="Times" w:hAnsi="Times" w:cs="Calibri"/>
          <w:sz w:val="24"/>
          <w:lang w:val="en-US"/>
        </w:rPr>
        <w:t xml:space="preserve"> from acting against public health interests. We cannot validate those proposals that we consider inappropriate, unrealistic and even dangerous, leaving the door open to commercial intrusion to the very detriment of public health.</w:t>
      </w:r>
    </w:p>
    <w:p w14:paraId="78926C85" w14:textId="77777777" w:rsidR="00806C94" w:rsidRPr="00806C94" w:rsidRDefault="00806C94" w:rsidP="00806C94">
      <w:pPr>
        <w:autoSpaceDE w:val="0"/>
        <w:autoSpaceDN w:val="0"/>
        <w:adjustRightInd w:val="0"/>
        <w:rPr>
          <w:rFonts w:ascii="Times" w:hAnsi="Times" w:cs="Calibri"/>
          <w:sz w:val="24"/>
          <w:lang w:val="en-US"/>
        </w:rPr>
      </w:pPr>
    </w:p>
    <w:p w14:paraId="245A359C" w14:textId="77777777" w:rsidR="00806C94" w:rsidRPr="00806C94" w:rsidRDefault="00806C94" w:rsidP="00806C94">
      <w:pPr>
        <w:pStyle w:val="NormalWeb"/>
        <w:spacing w:before="0" w:beforeAutospacing="0" w:after="0" w:afterAutospacing="0" w:line="260" w:lineRule="exact"/>
        <w:rPr>
          <w:rFonts w:ascii="Times" w:hAnsi="Times" w:cs="Calibri"/>
          <w:lang w:val="en-US"/>
        </w:rPr>
      </w:pPr>
      <w:r w:rsidRPr="00806C94">
        <w:rPr>
          <w:rFonts w:ascii="Times" w:hAnsi="Times" w:cstheme="minorBidi"/>
          <w:lang w:val="en-US"/>
        </w:rPr>
        <w:t>Equally, w</w:t>
      </w:r>
      <w:proofErr w:type="spellStart"/>
      <w:r w:rsidRPr="00806C94">
        <w:rPr>
          <w:rFonts w:ascii="Times" w:hAnsi="Times" w:cstheme="minorBidi"/>
          <w:lang w:val="en-GB"/>
        </w:rPr>
        <w:t>e</w:t>
      </w:r>
      <w:proofErr w:type="spellEnd"/>
      <w:r w:rsidRPr="00806C94">
        <w:rPr>
          <w:rFonts w:ascii="Times" w:hAnsi="Times" w:cstheme="minorBidi"/>
          <w:lang w:val="en-GB"/>
        </w:rPr>
        <w:t xml:space="preserve"> have strong reservations on the validity to pursue a regular “global dialogue” with the alcohol industry</w:t>
      </w:r>
      <w:r w:rsidRPr="00806C94">
        <w:rPr>
          <w:rStyle w:val="Appelnotedebasdep"/>
          <w:rFonts w:ascii="Times" w:hAnsi="Times" w:cstheme="minorBidi"/>
          <w:lang w:val="en-GB"/>
        </w:rPr>
        <w:footnoteReference w:id="5"/>
      </w:r>
      <w:r w:rsidRPr="00806C94">
        <w:rPr>
          <w:rFonts w:ascii="Times" w:hAnsi="Times" w:cstheme="minorBidi"/>
          <w:lang w:val="en-GB"/>
        </w:rPr>
        <w:t xml:space="preserve">, which counteracts the </w:t>
      </w:r>
      <w:r w:rsidRPr="00806C94">
        <w:rPr>
          <w:rFonts w:ascii="Times" w:hAnsi="Times" w:cs="Calibri"/>
          <w:lang w:val="en-US"/>
        </w:rPr>
        <w:t>Guiding principle 1 (Global Strategy to Reduce the Harmful Use of Alcohol. WHO, 2010): “</w:t>
      </w:r>
      <w:r w:rsidRPr="00806C94">
        <w:rPr>
          <w:rFonts w:ascii="Times" w:hAnsi="Times" w:cs="Calibri"/>
          <w:i/>
          <w:iCs/>
          <w:lang w:val="en-US"/>
        </w:rPr>
        <w:t xml:space="preserve">Public policies and interventions to prevent and reduce alcohol-related harm should be guided and formulated by public health interests and based on clear public health goals and the best available </w:t>
      </w:r>
      <w:proofErr w:type="gramStart"/>
      <w:r w:rsidRPr="00806C94">
        <w:rPr>
          <w:rFonts w:ascii="Times" w:hAnsi="Times" w:cs="Calibri"/>
          <w:i/>
          <w:iCs/>
          <w:lang w:val="en-US"/>
        </w:rPr>
        <w:t>evidence</w:t>
      </w:r>
      <w:r w:rsidRPr="00806C94">
        <w:rPr>
          <w:rFonts w:ascii="Times" w:hAnsi="Times" w:cs="Calibri"/>
          <w:lang w:val="en-US"/>
        </w:rPr>
        <w:t>”.</w:t>
      </w:r>
      <w:proofErr w:type="gramEnd"/>
    </w:p>
    <w:p w14:paraId="33C76EED" w14:textId="77777777" w:rsidR="00806C94" w:rsidRPr="00806C94" w:rsidRDefault="00806C94" w:rsidP="00806C94">
      <w:pPr>
        <w:autoSpaceDE w:val="0"/>
        <w:autoSpaceDN w:val="0"/>
        <w:adjustRightInd w:val="0"/>
        <w:rPr>
          <w:rFonts w:ascii="Times" w:hAnsi="Times" w:cs="Calibri"/>
          <w:sz w:val="24"/>
          <w:lang w:val="en-US"/>
        </w:rPr>
      </w:pPr>
    </w:p>
    <w:p w14:paraId="04F737FE" w14:textId="77777777" w:rsidR="00806C94" w:rsidRPr="00806C94" w:rsidRDefault="00806C94" w:rsidP="00806C94">
      <w:pPr>
        <w:autoSpaceDE w:val="0"/>
        <w:autoSpaceDN w:val="0"/>
        <w:adjustRightInd w:val="0"/>
        <w:rPr>
          <w:rFonts w:ascii="Times" w:hAnsi="Times"/>
          <w:sz w:val="24"/>
          <w:lang w:val="en-US"/>
        </w:rPr>
      </w:pPr>
      <w:r w:rsidRPr="00806C94">
        <w:rPr>
          <w:rFonts w:ascii="Times" w:eastAsia="Times New Roman" w:hAnsi="Times" w:cs="Arial"/>
          <w:color w:val="000000"/>
          <w:sz w:val="24"/>
          <w:lang w:val="en-US" w:eastAsia="fr-FR"/>
        </w:rPr>
        <w:t>The role of the alcohol industry in the reduction of alcohol-related harm should be strictly confined to their roles as producers, distributors and marketers of alcohol, and never include alcohol policy development or health promotion. It is crucial that the action plan sets very clear boundaries on the scope of action of the alcohol industry to protect public health interests.</w:t>
      </w:r>
    </w:p>
    <w:p w14:paraId="1B2BC01A" w14:textId="77777777" w:rsidR="00806C94" w:rsidRPr="00806C94" w:rsidRDefault="00806C94" w:rsidP="00806C94">
      <w:pPr>
        <w:pStyle w:val="NormalWeb"/>
        <w:spacing w:before="0" w:beforeAutospacing="0" w:after="0" w:afterAutospacing="0" w:line="260" w:lineRule="exact"/>
        <w:rPr>
          <w:rFonts w:ascii="Times" w:hAnsi="Times" w:cstheme="minorBidi"/>
          <w:lang w:val="en-GB"/>
        </w:rPr>
      </w:pPr>
    </w:p>
    <w:p w14:paraId="78755B17" w14:textId="77777777" w:rsidR="00806C94" w:rsidRPr="00806C94" w:rsidRDefault="00806C94" w:rsidP="00806C94">
      <w:pPr>
        <w:pStyle w:val="NormalWeb"/>
        <w:spacing w:before="0" w:beforeAutospacing="0" w:after="0" w:afterAutospacing="0" w:line="260" w:lineRule="exact"/>
        <w:rPr>
          <w:rFonts w:ascii="Times" w:hAnsi="Times" w:cstheme="minorBidi"/>
          <w:lang w:val="en-GB"/>
        </w:rPr>
      </w:pPr>
      <w:r w:rsidRPr="00806C94">
        <w:rPr>
          <w:rFonts w:ascii="Times" w:hAnsi="Times" w:cstheme="minorBidi"/>
          <w:lang w:val="en-GB"/>
        </w:rPr>
        <w:t>Furthermore, we are concerned to note that the responsibility for monitoring and reporting interference from commercial interests lies only with civil society actors. We strongly recommend providing the plan with a comprehensive monitoring mechanism led by the WHO secretariat involving all actors, including Member States, to counter commercial intrusions.</w:t>
      </w:r>
    </w:p>
    <w:p w14:paraId="493483A8" w14:textId="77777777" w:rsidR="00806C94" w:rsidRPr="00806C94" w:rsidRDefault="00806C94" w:rsidP="00806C94">
      <w:pPr>
        <w:autoSpaceDE w:val="0"/>
        <w:autoSpaceDN w:val="0"/>
        <w:adjustRightInd w:val="0"/>
        <w:rPr>
          <w:rFonts w:ascii="Times" w:hAnsi="Times" w:cs="Calibri"/>
          <w:sz w:val="24"/>
          <w:lang w:val="en-US"/>
        </w:rPr>
      </w:pPr>
    </w:p>
    <w:p w14:paraId="7EAB9912" w14:textId="77777777" w:rsidR="00806C94" w:rsidRPr="00806C94" w:rsidRDefault="00806C94" w:rsidP="00806C94">
      <w:pPr>
        <w:pStyle w:val="NormalWeb"/>
        <w:spacing w:before="0" w:beforeAutospacing="0" w:after="0" w:afterAutospacing="0" w:line="260" w:lineRule="exact"/>
        <w:rPr>
          <w:rFonts w:ascii="Times" w:hAnsi="Times" w:cstheme="minorBidi"/>
          <w:lang w:val="en-GB"/>
        </w:rPr>
      </w:pPr>
      <w:r w:rsidRPr="00806C94">
        <w:rPr>
          <w:rFonts w:ascii="Times" w:hAnsi="Times" w:cstheme="minorBidi"/>
          <w:lang w:val="en-US"/>
        </w:rPr>
        <w:t>Commercial interests contradict the very essence of the strategy to serve public health. We identify no evidence of efficacy for continuing dialogue with the alcohol industry and deeply regret the disproportionate attention given to economic operators in the plan, compared to the limited consideration provided to the health professionals’ role in documenting and preventing harmful use of alcohol</w:t>
      </w:r>
      <w:r w:rsidRPr="00806C94">
        <w:rPr>
          <w:rStyle w:val="Appelnotedebasdep"/>
          <w:rFonts w:ascii="Times" w:hAnsi="Times" w:cstheme="minorBidi"/>
          <w:lang w:val="en-US"/>
        </w:rPr>
        <w:footnoteReference w:id="6"/>
      </w:r>
      <w:r w:rsidRPr="00806C94">
        <w:rPr>
          <w:rFonts w:ascii="Times" w:hAnsi="Times" w:cstheme="minorBidi"/>
          <w:lang w:val="en-US"/>
        </w:rPr>
        <w:t>.</w:t>
      </w:r>
    </w:p>
    <w:p w14:paraId="181C4DF7" w14:textId="77777777" w:rsidR="00806C94" w:rsidRPr="00806C94" w:rsidRDefault="00806C94" w:rsidP="00806C94">
      <w:pPr>
        <w:pStyle w:val="NormalWeb"/>
        <w:spacing w:before="0" w:beforeAutospacing="0" w:after="0" w:afterAutospacing="0" w:line="260" w:lineRule="exact"/>
        <w:rPr>
          <w:rFonts w:ascii="Times" w:hAnsi="Times" w:cstheme="minorBidi"/>
          <w:lang w:val="en-GB"/>
        </w:rPr>
      </w:pPr>
    </w:p>
    <w:p w14:paraId="10E7AB1D" w14:textId="77777777" w:rsidR="00806C94" w:rsidRPr="00806C94" w:rsidRDefault="00806C94" w:rsidP="00806C94">
      <w:pPr>
        <w:autoSpaceDE w:val="0"/>
        <w:autoSpaceDN w:val="0"/>
        <w:adjustRightInd w:val="0"/>
        <w:rPr>
          <w:rFonts w:ascii="Times" w:hAnsi="Times" w:cs="Calibri"/>
          <w:sz w:val="24"/>
        </w:rPr>
      </w:pPr>
    </w:p>
    <w:p w14:paraId="229C3BB9" w14:textId="77777777" w:rsidR="00806C94" w:rsidRPr="00806C94" w:rsidRDefault="00806C94" w:rsidP="00806C94">
      <w:pPr>
        <w:pStyle w:val="Paragraphedeliste"/>
        <w:numPr>
          <w:ilvl w:val="0"/>
          <w:numId w:val="4"/>
        </w:numPr>
        <w:rPr>
          <w:rFonts w:ascii="Times" w:hAnsi="Times" w:cs="Calibri"/>
          <w:b/>
          <w:bCs/>
          <w:lang w:val="en-US"/>
        </w:rPr>
      </w:pPr>
      <w:r w:rsidRPr="00806C94">
        <w:rPr>
          <w:rFonts w:ascii="Times" w:hAnsi="Times" w:cs="Calibri"/>
          <w:b/>
          <w:bCs/>
          <w:lang w:val="en-US"/>
        </w:rPr>
        <w:t>The need for legally binding regulatory instruments at national and international levels</w:t>
      </w:r>
    </w:p>
    <w:p w14:paraId="5EABE6EC" w14:textId="77777777" w:rsidR="00806C94" w:rsidRPr="00806C94" w:rsidRDefault="00806C94" w:rsidP="00806C94">
      <w:pPr>
        <w:autoSpaceDE w:val="0"/>
        <w:autoSpaceDN w:val="0"/>
        <w:adjustRightInd w:val="0"/>
        <w:rPr>
          <w:rFonts w:ascii="Times" w:hAnsi="Times" w:cs="Calibri"/>
          <w:sz w:val="24"/>
        </w:rPr>
      </w:pPr>
    </w:p>
    <w:p w14:paraId="03C6C6DA" w14:textId="77777777" w:rsidR="00806C94" w:rsidRPr="00806C94" w:rsidRDefault="00806C94" w:rsidP="00806C94">
      <w:pPr>
        <w:rPr>
          <w:rFonts w:ascii="Times" w:hAnsi="Times" w:cs="Calibri"/>
          <w:sz w:val="24"/>
          <w:lang w:val="en-US"/>
        </w:rPr>
      </w:pPr>
      <w:r w:rsidRPr="00806C94">
        <w:rPr>
          <w:rFonts w:ascii="Times" w:hAnsi="Times" w:cs="Calibri"/>
          <w:sz w:val="24"/>
          <w:lang w:val="en-US"/>
        </w:rPr>
        <w:t>In the challenges identified, the working document refers to the absence of legally-binding regulatory instruments which “</w:t>
      </w:r>
      <w:r w:rsidRPr="00806C94">
        <w:rPr>
          <w:rFonts w:ascii="Times" w:hAnsi="Times" w:cs="Calibri"/>
          <w:i/>
          <w:iCs/>
          <w:sz w:val="24"/>
          <w:lang w:val="en-US"/>
        </w:rPr>
        <w:t xml:space="preserve">limits the ability of (…) governments to regulate the distribution, sale and marketing of alcohol within the context of international, regional and bilateral trade negotiations, as well as to protect the development of alcohol policies from interference by transnational corporations and commercial interests. This prompted calls for a global normative </w:t>
      </w:r>
      <w:r w:rsidRPr="00806C94">
        <w:rPr>
          <w:rFonts w:ascii="Times" w:hAnsi="Times" w:cs="Calibri"/>
          <w:i/>
          <w:iCs/>
          <w:sz w:val="24"/>
          <w:lang w:val="en-US"/>
        </w:rPr>
        <w:lastRenderedPageBreak/>
        <w:t>law on alcohol at the intergovernmental level, modelled on the WHO Framework Convention on Tobacco Control</w:t>
      </w:r>
      <w:r w:rsidRPr="00806C94">
        <w:rPr>
          <w:rFonts w:ascii="Times" w:hAnsi="Times" w:cs="Calibri"/>
          <w:sz w:val="24"/>
          <w:lang w:val="en-US"/>
        </w:rPr>
        <w:t>”.</w:t>
      </w:r>
    </w:p>
    <w:p w14:paraId="7BC747DF" w14:textId="77777777" w:rsidR="00806C94" w:rsidRPr="00806C94" w:rsidRDefault="00806C94" w:rsidP="00806C94">
      <w:pPr>
        <w:rPr>
          <w:rFonts w:ascii="Times" w:hAnsi="Times" w:cs="Calibri"/>
          <w:sz w:val="24"/>
          <w:lang w:val="en-US"/>
        </w:rPr>
      </w:pPr>
    </w:p>
    <w:p w14:paraId="271D3C6F" w14:textId="77777777" w:rsidR="00806C94" w:rsidRPr="00806C94" w:rsidRDefault="00806C94" w:rsidP="00806C94">
      <w:pPr>
        <w:rPr>
          <w:rFonts w:ascii="Times" w:hAnsi="Times"/>
          <w:sz w:val="24"/>
        </w:rPr>
      </w:pPr>
      <w:r w:rsidRPr="00806C94">
        <w:rPr>
          <w:rFonts w:ascii="Times" w:hAnsi="Times" w:cs="Calibri"/>
          <w:sz w:val="24"/>
          <w:lang w:val="en-US"/>
        </w:rPr>
        <w:t xml:space="preserve">Regretfully, the actions recommended later in the plan to the attention of Member States do not effectively address those challenges. Yet, the </w:t>
      </w:r>
      <w:r w:rsidRPr="00806C94">
        <w:rPr>
          <w:rFonts w:ascii="Times" w:hAnsi="Times"/>
          <w:sz w:val="24"/>
          <w:lang w:val="en-US"/>
        </w:rPr>
        <w:t xml:space="preserve">“best buys”, promoted by WHO-led SAFER initiative, are recognised as </w:t>
      </w:r>
      <w:r w:rsidRPr="00806C94">
        <w:rPr>
          <w:rFonts w:ascii="Times" w:hAnsi="Times"/>
          <w:sz w:val="24"/>
        </w:rPr>
        <w:t>t</w:t>
      </w:r>
      <w:r w:rsidRPr="00806C94">
        <w:rPr>
          <w:rFonts w:ascii="Times" w:hAnsi="Times"/>
          <w:sz w:val="24"/>
          <w:lang w:val="en-US"/>
        </w:rPr>
        <w:t>he most cost-effective policy measures for alcohol control</w:t>
      </w:r>
      <w:r w:rsidRPr="00806C94">
        <w:rPr>
          <w:rStyle w:val="Appelnotedebasdep"/>
          <w:rFonts w:ascii="Times" w:hAnsi="Times"/>
          <w:sz w:val="24"/>
          <w:lang w:val="en-US"/>
        </w:rPr>
        <w:footnoteReference w:id="7"/>
      </w:r>
      <w:r w:rsidRPr="00806C94">
        <w:rPr>
          <w:rFonts w:ascii="Times" w:hAnsi="Times"/>
          <w:sz w:val="24"/>
          <w:lang w:val="en-US"/>
        </w:rPr>
        <w:t xml:space="preserve">. </w:t>
      </w:r>
      <w:r w:rsidRPr="00806C94">
        <w:rPr>
          <w:rFonts w:ascii="Times" w:hAnsi="Times"/>
          <w:sz w:val="24"/>
        </w:rPr>
        <w:t>Alcohol is responsible for significant mortality and morbidity around the world and it is time for governments to take their responsibilities. We recommend a more ambitious action plan including pertinent regulatory and fiscal measures to reduce harmful alcohol consumption, such as:</w:t>
      </w:r>
    </w:p>
    <w:p w14:paraId="27A44312" w14:textId="77777777" w:rsidR="00806C94" w:rsidRPr="00806C94" w:rsidRDefault="00806C94" w:rsidP="00806C94">
      <w:pPr>
        <w:rPr>
          <w:rFonts w:ascii="Times" w:hAnsi="Times"/>
          <w:sz w:val="24"/>
        </w:rPr>
      </w:pPr>
    </w:p>
    <w:p w14:paraId="63ADCDB9" w14:textId="77777777" w:rsidR="00806C94" w:rsidRPr="00806C94" w:rsidRDefault="00806C94" w:rsidP="00806C94">
      <w:pPr>
        <w:pStyle w:val="Paragraphedeliste"/>
        <w:numPr>
          <w:ilvl w:val="0"/>
          <w:numId w:val="3"/>
        </w:numPr>
        <w:rPr>
          <w:rFonts w:ascii="Times" w:hAnsi="Times"/>
          <w:lang w:val="en-GB"/>
        </w:rPr>
      </w:pPr>
      <w:r w:rsidRPr="00806C94">
        <w:rPr>
          <w:rFonts w:ascii="Times" w:hAnsi="Times"/>
          <w:lang w:val="en-GB"/>
        </w:rPr>
        <w:t>Effective restrictions on advertising;</w:t>
      </w:r>
    </w:p>
    <w:p w14:paraId="1DBA174A" w14:textId="77777777" w:rsidR="00806C94" w:rsidRPr="00806C94" w:rsidRDefault="00806C94" w:rsidP="00806C94">
      <w:pPr>
        <w:pStyle w:val="Paragraphedeliste"/>
        <w:numPr>
          <w:ilvl w:val="0"/>
          <w:numId w:val="3"/>
        </w:numPr>
        <w:rPr>
          <w:rFonts w:ascii="Times" w:eastAsia="Times New Roman" w:hAnsi="Times" w:cs="Times New Roman"/>
          <w:lang w:val="en-US" w:eastAsia="fr-FR"/>
        </w:rPr>
      </w:pPr>
      <w:r w:rsidRPr="00806C94">
        <w:rPr>
          <w:rFonts w:ascii="Times" w:eastAsia="Times New Roman" w:hAnsi="Times" w:cs="Arial"/>
          <w:color w:val="000000"/>
          <w:shd w:val="clear" w:color="auto" w:fill="FFFFFF"/>
          <w:lang w:val="en-US" w:eastAsia="fr-FR"/>
        </w:rPr>
        <w:t>Setting a minimum unit price at a level that will reduce alcohol consumption;</w:t>
      </w:r>
    </w:p>
    <w:p w14:paraId="071C26A3" w14:textId="77777777" w:rsidR="00806C94" w:rsidRPr="00806C94" w:rsidRDefault="00806C94" w:rsidP="00806C94">
      <w:pPr>
        <w:pStyle w:val="Paragraphedeliste"/>
        <w:numPr>
          <w:ilvl w:val="0"/>
          <w:numId w:val="3"/>
        </w:numPr>
        <w:rPr>
          <w:rFonts w:ascii="Times" w:eastAsia="Times New Roman" w:hAnsi="Times" w:cs="Times New Roman"/>
          <w:lang w:val="en-US" w:eastAsia="fr-FR"/>
        </w:rPr>
      </w:pPr>
      <w:r w:rsidRPr="00806C94">
        <w:rPr>
          <w:rFonts w:ascii="Times" w:eastAsia="Times New Roman" w:hAnsi="Times" w:cs="Arial"/>
          <w:color w:val="000000"/>
          <w:shd w:val="clear" w:color="auto" w:fill="FFFFFF"/>
          <w:lang w:val="en-US" w:eastAsia="fr-FR"/>
        </w:rPr>
        <w:t>Regulation of access to, and availability of, alcohol by limiting the hours and days of sale, the number and location of alcohol outlets and licensed premises, and with a minimum legal drinking age.</w:t>
      </w:r>
    </w:p>
    <w:p w14:paraId="5E02E9E5" w14:textId="77777777" w:rsidR="00806C94" w:rsidRPr="00806C94" w:rsidRDefault="00806C94" w:rsidP="00806C94">
      <w:pPr>
        <w:pStyle w:val="NormalWeb"/>
        <w:spacing w:before="0" w:beforeAutospacing="0" w:after="0" w:afterAutospacing="0" w:line="260" w:lineRule="exact"/>
        <w:rPr>
          <w:rFonts w:ascii="Times" w:hAnsi="Times" w:cstheme="minorBidi"/>
          <w:lang w:val="en-US"/>
        </w:rPr>
      </w:pPr>
    </w:p>
    <w:p w14:paraId="30D3D640" w14:textId="77777777" w:rsidR="00806C94" w:rsidRPr="00806C94" w:rsidRDefault="00806C94" w:rsidP="00806C94">
      <w:pPr>
        <w:pStyle w:val="NormalWeb"/>
        <w:spacing w:before="0" w:beforeAutospacing="0" w:after="0" w:afterAutospacing="0" w:line="280" w:lineRule="exact"/>
        <w:rPr>
          <w:rFonts w:ascii="Times" w:hAnsi="Times" w:cs="Arial"/>
          <w:color w:val="000000"/>
          <w:shd w:val="clear" w:color="auto" w:fill="FFFFFF"/>
          <w:lang w:val="en-US"/>
        </w:rPr>
      </w:pPr>
      <w:r w:rsidRPr="00806C94">
        <w:rPr>
          <w:rFonts w:ascii="Times" w:hAnsi="Times" w:cs="Arial"/>
          <w:color w:val="000000"/>
          <w:shd w:val="clear" w:color="auto" w:fill="FFFFFF"/>
          <w:lang w:val="en-US"/>
        </w:rPr>
        <w:t xml:space="preserve">To protect alcohol control measures, we further recommend that alcohol be classified as an extraordinary commodity and that measures affecting the supply, distribution, sale, advertising, sponsorship, promotion of or investment in alcoholic beverages be excluded from international trade agreements. </w:t>
      </w:r>
      <w:r w:rsidRPr="00806C94">
        <w:rPr>
          <w:rFonts w:ascii="Times" w:hAnsi="Times" w:cs="Arial"/>
          <w:color w:val="000000"/>
          <w:lang w:val="en-US"/>
        </w:rPr>
        <w:t>Health impact assessments of trade agreements constitute a necessity to protect, promote and prioritize public health over commercial interests.</w:t>
      </w:r>
    </w:p>
    <w:p w14:paraId="49CF29D8" w14:textId="77777777" w:rsidR="00806C94" w:rsidRPr="00806C94" w:rsidRDefault="00806C94" w:rsidP="00806C94">
      <w:pPr>
        <w:rPr>
          <w:rFonts w:ascii="Times" w:hAnsi="Times"/>
          <w:sz w:val="24"/>
          <w:lang w:val="en-US"/>
        </w:rPr>
      </w:pPr>
    </w:p>
    <w:p w14:paraId="2B852015" w14:textId="77777777" w:rsidR="00806C94" w:rsidRPr="00806C94" w:rsidRDefault="00806C94" w:rsidP="00806C94">
      <w:pPr>
        <w:rPr>
          <w:rFonts w:ascii="Times" w:eastAsia="Times New Roman" w:hAnsi="Times"/>
          <w:sz w:val="24"/>
          <w:lang w:val="en-US" w:eastAsia="fr-FR"/>
        </w:rPr>
      </w:pPr>
      <w:r w:rsidRPr="00806C94">
        <w:rPr>
          <w:rFonts w:ascii="Times" w:hAnsi="Times"/>
          <w:sz w:val="24"/>
          <w:lang w:val="en-US"/>
        </w:rPr>
        <w:t xml:space="preserve">Finally, we support the proposal made in the introduction of the action plan to open discussion on a global normative regulation of alcohol at intergovernmental level, modelled on </w:t>
      </w:r>
      <w:r w:rsidRPr="00806C94">
        <w:rPr>
          <w:rFonts w:ascii="Times" w:eastAsia="Times New Roman" w:hAnsi="Times" w:cs="Arial"/>
          <w:color w:val="000000"/>
          <w:sz w:val="24"/>
          <w:shd w:val="clear" w:color="auto" w:fill="FFFFFF"/>
          <w:lang w:val="en-US" w:eastAsia="fr-FR"/>
        </w:rPr>
        <w:t>WHO Framework Convention on Tobacco Control.</w:t>
      </w:r>
    </w:p>
    <w:p w14:paraId="2D2C8C96" w14:textId="77777777" w:rsidR="00806C94" w:rsidRPr="00806C94" w:rsidRDefault="00806C94" w:rsidP="00806C94">
      <w:pPr>
        <w:rPr>
          <w:rFonts w:ascii="Times" w:hAnsi="Times"/>
          <w:sz w:val="24"/>
          <w:lang w:val="en-US"/>
        </w:rPr>
      </w:pPr>
    </w:p>
    <w:p w14:paraId="211A30DC" w14:textId="77777777" w:rsidR="00806C94" w:rsidRDefault="00806C94" w:rsidP="00806C94">
      <w:pPr>
        <w:rPr>
          <w:rFonts w:ascii="Times" w:hAnsi="Times"/>
          <w:lang w:val="en-US"/>
        </w:rPr>
      </w:pPr>
    </w:p>
    <w:p w14:paraId="04D11DA6" w14:textId="77777777" w:rsidR="00806C94" w:rsidRPr="009462D6" w:rsidRDefault="00806C94" w:rsidP="00806C94">
      <w:pPr>
        <w:rPr>
          <w:rFonts w:ascii="Times" w:hAnsi="Times"/>
          <w:lang w:val="en-US"/>
        </w:rPr>
      </w:pPr>
    </w:p>
    <w:p w14:paraId="656B25D8" w14:textId="77777777" w:rsidR="00806C94" w:rsidRPr="00690061" w:rsidRDefault="00806C94" w:rsidP="00806C94">
      <w:pPr>
        <w:rPr>
          <w:rFonts w:ascii="Times" w:hAnsi="Times"/>
          <w:lang w:val="en-US"/>
        </w:rPr>
      </w:pPr>
    </w:p>
    <w:p w14:paraId="5A97C6AE" w14:textId="77777777" w:rsidR="00806C94" w:rsidRPr="00690061" w:rsidRDefault="00806C94" w:rsidP="00806C94">
      <w:pPr>
        <w:jc w:val="center"/>
        <w:rPr>
          <w:rFonts w:ascii="Times" w:hAnsi="Times"/>
          <w:lang w:val="en-US"/>
        </w:rPr>
      </w:pPr>
      <w:r>
        <w:rPr>
          <w:rFonts w:ascii="Times" w:hAnsi="Times"/>
          <w:lang w:val="en-US"/>
        </w:rPr>
        <w:t>***</w:t>
      </w:r>
    </w:p>
    <w:p w14:paraId="0BADDAAE" w14:textId="77777777" w:rsidR="00806C94" w:rsidRDefault="00806C94" w:rsidP="00806C94">
      <w:pPr>
        <w:rPr>
          <w:rFonts w:ascii="Times" w:hAnsi="Times"/>
          <w:lang w:val="en-US"/>
        </w:rPr>
      </w:pPr>
    </w:p>
    <w:p w14:paraId="27AAF40B" w14:textId="77777777" w:rsidR="00806C94" w:rsidRDefault="00806C94" w:rsidP="00806C94">
      <w:pPr>
        <w:rPr>
          <w:rFonts w:ascii="Times" w:hAnsi="Times"/>
          <w:lang w:val="en-US"/>
        </w:rPr>
      </w:pPr>
    </w:p>
    <w:p w14:paraId="646111A0" w14:textId="118C9A70" w:rsidR="00806C94" w:rsidRPr="00022181" w:rsidRDefault="00806C94" w:rsidP="00806C94">
      <w:pPr>
        <w:rPr>
          <w:rFonts w:ascii="Times" w:hAnsi="Times"/>
          <w:szCs w:val="20"/>
          <w:lang w:val="en-US"/>
        </w:rPr>
      </w:pPr>
      <w:r>
        <w:rPr>
          <w:rFonts w:ascii="Times" w:hAnsi="Times"/>
          <w:szCs w:val="20"/>
          <w:lang w:val="en-US"/>
        </w:rPr>
        <w:t>07</w:t>
      </w:r>
      <w:r w:rsidRPr="00022181">
        <w:rPr>
          <w:rFonts w:ascii="Times" w:hAnsi="Times"/>
          <w:szCs w:val="20"/>
          <w:lang w:val="en-US"/>
        </w:rPr>
        <w:t>.12.2020</w:t>
      </w:r>
    </w:p>
    <w:p w14:paraId="7AEE19D6" w14:textId="77777777" w:rsidR="00806C94" w:rsidRPr="009B56DC" w:rsidRDefault="00806C94" w:rsidP="00806C94">
      <w:pPr>
        <w:rPr>
          <w:lang w:val="en-US"/>
        </w:rPr>
      </w:pPr>
    </w:p>
    <w:p w14:paraId="28615EC7" w14:textId="77777777" w:rsidR="00806C94" w:rsidRPr="006443D6" w:rsidRDefault="00806C94" w:rsidP="006443D6">
      <w:pPr>
        <w:widowControl w:val="0"/>
        <w:tabs>
          <w:tab w:val="left" w:pos="2240"/>
        </w:tabs>
        <w:autoSpaceDE w:val="0"/>
        <w:autoSpaceDN w:val="0"/>
        <w:adjustRightInd w:val="0"/>
        <w:jc w:val="both"/>
        <w:rPr>
          <w:rFonts w:ascii="Times" w:hAnsi="Times" w:cs="Plantagenet Cherokee"/>
          <w:sz w:val="24"/>
          <w:lang w:val="en-US"/>
        </w:rPr>
      </w:pPr>
    </w:p>
    <w:sectPr w:rsidR="00806C94" w:rsidRPr="006443D6" w:rsidSect="006D571F">
      <w:headerReference w:type="default" r:id="rId10"/>
      <w:headerReference w:type="first" r:id="rId11"/>
      <w:footerReference w:type="first" r:id="rId12"/>
      <w:pgSz w:w="11906" w:h="16838"/>
      <w:pgMar w:top="1384" w:right="849" w:bottom="1134" w:left="1417" w:header="708"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0CE71" w14:textId="77777777" w:rsidR="00304552" w:rsidRDefault="00304552" w:rsidP="00564AF5">
      <w:r>
        <w:separator/>
      </w:r>
    </w:p>
  </w:endnote>
  <w:endnote w:type="continuationSeparator" w:id="0">
    <w:p w14:paraId="0EDAE547" w14:textId="77777777" w:rsidR="00304552" w:rsidRDefault="00304552" w:rsidP="0056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Univers">
    <w:altName w:val="Arial"/>
    <w:panose1 w:val="020B0604020202020204"/>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Plantagenet Cherokee">
    <w:panose1 w:val="02020000000000000000"/>
    <w:charset w:val="B1"/>
    <w:family w:val="roman"/>
    <w:pitch w:val="variable"/>
    <w:sig w:usb0="80000803" w:usb1="00000000" w:usb2="00001000" w:usb3="00000000" w:csb0="000001F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3370"/>
      <w:gridCol w:w="972"/>
      <w:gridCol w:w="3070"/>
      <w:gridCol w:w="2228"/>
    </w:tblGrid>
    <w:tr w:rsidR="00D437C7" w14:paraId="40C1683E" w14:textId="77777777">
      <w:tc>
        <w:tcPr>
          <w:tcW w:w="3425" w:type="dxa"/>
        </w:tcPr>
        <w:p w14:paraId="21D12FAF" w14:textId="77777777" w:rsidR="00D437C7" w:rsidRDefault="00D437C7">
          <w:pPr>
            <w:pStyle w:val="Pieddepage"/>
            <w:rPr>
              <w:rFonts w:ascii="Helvetica" w:hAnsi="Helvetica"/>
              <w:color w:val="005881"/>
              <w:sz w:val="12"/>
            </w:rPr>
          </w:pPr>
        </w:p>
      </w:tc>
      <w:tc>
        <w:tcPr>
          <w:tcW w:w="978" w:type="dxa"/>
        </w:tcPr>
        <w:p w14:paraId="711F1374" w14:textId="77777777" w:rsidR="00D437C7" w:rsidRDefault="00D437C7">
          <w:pPr>
            <w:pStyle w:val="Pieddepage"/>
            <w:rPr>
              <w:rFonts w:ascii="Helvetica" w:hAnsi="Helvetica"/>
              <w:color w:val="005881"/>
              <w:sz w:val="12"/>
            </w:rPr>
          </w:pPr>
        </w:p>
      </w:tc>
      <w:tc>
        <w:tcPr>
          <w:tcW w:w="3116" w:type="dxa"/>
        </w:tcPr>
        <w:p w14:paraId="503A42E6" w14:textId="77777777" w:rsidR="00D437C7" w:rsidRDefault="00D437C7">
          <w:pPr>
            <w:pStyle w:val="Pieddepage"/>
            <w:rPr>
              <w:rFonts w:ascii="Helvetica" w:hAnsi="Helvetica"/>
              <w:color w:val="005881"/>
              <w:sz w:val="12"/>
            </w:rPr>
          </w:pPr>
        </w:p>
      </w:tc>
      <w:tc>
        <w:tcPr>
          <w:tcW w:w="2261" w:type="dxa"/>
        </w:tcPr>
        <w:p w14:paraId="662551D6" w14:textId="77777777" w:rsidR="00D437C7" w:rsidRDefault="00D437C7">
          <w:pPr>
            <w:pStyle w:val="Pieddepage"/>
            <w:rPr>
              <w:rFonts w:ascii="Helvetica" w:hAnsi="Helvetica"/>
              <w:color w:val="005881"/>
              <w:sz w:val="12"/>
            </w:rPr>
          </w:pPr>
        </w:p>
      </w:tc>
    </w:tr>
    <w:tr w:rsidR="00D437C7" w14:paraId="732DE243" w14:textId="77777777">
      <w:tc>
        <w:tcPr>
          <w:tcW w:w="3425" w:type="dxa"/>
        </w:tcPr>
        <w:p w14:paraId="56C8E2C5" w14:textId="77777777" w:rsidR="00D437C7" w:rsidRDefault="00D437C7">
          <w:pPr>
            <w:pStyle w:val="Pieddepage"/>
            <w:rPr>
              <w:rFonts w:ascii="Helvetica" w:hAnsi="Helvetica"/>
              <w:color w:val="005881"/>
              <w:sz w:val="12"/>
            </w:rPr>
          </w:pPr>
          <w:proofErr w:type="spellStart"/>
          <w:r>
            <w:rPr>
              <w:rFonts w:ascii="Helvetica" w:hAnsi="Helvetica"/>
              <w:color w:val="005881"/>
              <w:sz w:val="12"/>
            </w:rPr>
            <w:t>Centre</w:t>
          </w:r>
          <w:proofErr w:type="spellEnd"/>
          <w:r>
            <w:rPr>
              <w:rFonts w:ascii="Helvetica" w:hAnsi="Helvetica"/>
              <w:color w:val="005881"/>
              <w:sz w:val="12"/>
            </w:rPr>
            <w:t xml:space="preserve"> International de </w:t>
          </w:r>
          <w:proofErr w:type="spellStart"/>
          <w:r>
            <w:rPr>
              <w:rFonts w:ascii="Helvetica" w:hAnsi="Helvetica"/>
              <w:color w:val="005881"/>
              <w:sz w:val="12"/>
            </w:rPr>
            <w:t>Bureaux</w:t>
          </w:r>
          <w:proofErr w:type="spellEnd"/>
        </w:p>
      </w:tc>
      <w:tc>
        <w:tcPr>
          <w:tcW w:w="978" w:type="dxa"/>
        </w:tcPr>
        <w:p w14:paraId="73B08E02" w14:textId="77777777" w:rsidR="00D437C7" w:rsidRDefault="00D437C7">
          <w:pPr>
            <w:pStyle w:val="Pieddepage"/>
            <w:rPr>
              <w:rFonts w:ascii="Helvetica" w:hAnsi="Helvetica"/>
              <w:color w:val="005881"/>
              <w:sz w:val="12"/>
            </w:rPr>
          </w:pPr>
        </w:p>
      </w:tc>
      <w:tc>
        <w:tcPr>
          <w:tcW w:w="3116" w:type="dxa"/>
        </w:tcPr>
        <w:p w14:paraId="5744D8E3" w14:textId="77777777" w:rsidR="00D437C7" w:rsidRDefault="00D437C7" w:rsidP="006D571F">
          <w:pPr>
            <w:pStyle w:val="Pieddepage"/>
            <w:rPr>
              <w:rFonts w:ascii="Helvetica" w:hAnsi="Helvetica"/>
              <w:color w:val="005881"/>
              <w:sz w:val="12"/>
            </w:rPr>
          </w:pPr>
        </w:p>
      </w:tc>
      <w:tc>
        <w:tcPr>
          <w:tcW w:w="2261" w:type="dxa"/>
        </w:tcPr>
        <w:p w14:paraId="0741678B" w14:textId="77777777" w:rsidR="00D437C7" w:rsidRDefault="00D437C7">
          <w:pPr>
            <w:pStyle w:val="Pieddepage"/>
            <w:rPr>
              <w:rFonts w:ascii="Helvetica" w:hAnsi="Helvetica"/>
              <w:color w:val="005881"/>
              <w:sz w:val="12"/>
            </w:rPr>
          </w:pPr>
        </w:p>
      </w:tc>
    </w:tr>
    <w:tr w:rsidR="00D437C7" w14:paraId="0DCAC998" w14:textId="77777777">
      <w:tc>
        <w:tcPr>
          <w:tcW w:w="3425" w:type="dxa"/>
        </w:tcPr>
        <w:p w14:paraId="424E08F8" w14:textId="77777777" w:rsidR="00D437C7" w:rsidRDefault="00D437C7">
          <w:pPr>
            <w:pStyle w:val="Pieddepage"/>
            <w:rPr>
              <w:rFonts w:ascii="Helvetica" w:hAnsi="Helvetica"/>
              <w:color w:val="005881"/>
              <w:sz w:val="12"/>
            </w:rPr>
          </w:pPr>
          <w:proofErr w:type="spellStart"/>
          <w:r>
            <w:rPr>
              <w:rFonts w:ascii="Helvetica" w:hAnsi="Helvetica"/>
              <w:color w:val="005881"/>
              <w:sz w:val="12"/>
            </w:rPr>
            <w:t>Immeuble</w:t>
          </w:r>
          <w:proofErr w:type="spellEnd"/>
          <w:r>
            <w:rPr>
              <w:rFonts w:ascii="Helvetica" w:hAnsi="Helvetica"/>
              <w:color w:val="005881"/>
              <w:sz w:val="12"/>
            </w:rPr>
            <w:t xml:space="preserve"> A "Keynes"</w:t>
          </w:r>
        </w:p>
      </w:tc>
      <w:tc>
        <w:tcPr>
          <w:tcW w:w="978" w:type="dxa"/>
        </w:tcPr>
        <w:p w14:paraId="46BAE9D6" w14:textId="77777777" w:rsidR="00D437C7" w:rsidRDefault="00D437C7">
          <w:pPr>
            <w:pStyle w:val="Pieddepage"/>
            <w:rPr>
              <w:rFonts w:ascii="Helvetica" w:hAnsi="Helvetica"/>
              <w:color w:val="005881"/>
              <w:sz w:val="12"/>
            </w:rPr>
          </w:pPr>
          <w:r>
            <w:rPr>
              <w:rFonts w:ascii="Helvetica" w:hAnsi="Helvetica"/>
              <w:color w:val="005881"/>
              <w:sz w:val="12"/>
            </w:rPr>
            <w:t>Website</w:t>
          </w:r>
        </w:p>
      </w:tc>
      <w:tc>
        <w:tcPr>
          <w:tcW w:w="3116" w:type="dxa"/>
        </w:tcPr>
        <w:p w14:paraId="0BA9851F" w14:textId="77777777" w:rsidR="00D437C7" w:rsidRDefault="00D437C7">
          <w:pPr>
            <w:pStyle w:val="Pieddepage"/>
            <w:rPr>
              <w:rFonts w:ascii="Helvetica" w:hAnsi="Helvetica"/>
              <w:color w:val="005881"/>
              <w:sz w:val="12"/>
            </w:rPr>
          </w:pPr>
          <w:r>
            <w:rPr>
              <w:rFonts w:ascii="Helvetica" w:hAnsi="Helvetica"/>
              <w:color w:val="005881"/>
              <w:sz w:val="12"/>
            </w:rPr>
            <w:t>: www.wma.net</w:t>
          </w:r>
        </w:p>
      </w:tc>
      <w:tc>
        <w:tcPr>
          <w:tcW w:w="2261" w:type="dxa"/>
        </w:tcPr>
        <w:p w14:paraId="0164A997" w14:textId="77777777" w:rsidR="00D437C7" w:rsidRDefault="00D437C7">
          <w:pPr>
            <w:pStyle w:val="Pieddepage"/>
            <w:rPr>
              <w:rFonts w:ascii="Helvetica" w:hAnsi="Helvetica"/>
              <w:color w:val="005881"/>
              <w:sz w:val="12"/>
            </w:rPr>
          </w:pPr>
          <w:proofErr w:type="spellStart"/>
          <w:r>
            <w:rPr>
              <w:rFonts w:ascii="Helvetica" w:hAnsi="Helvetica"/>
              <w:color w:val="005881"/>
              <w:sz w:val="12"/>
            </w:rPr>
            <w:t>Postal</w:t>
          </w:r>
          <w:proofErr w:type="spellEnd"/>
          <w:r>
            <w:rPr>
              <w:rFonts w:ascii="Helvetica" w:hAnsi="Helvetica"/>
              <w:color w:val="005881"/>
              <w:sz w:val="12"/>
            </w:rPr>
            <w:t xml:space="preserve"> </w:t>
          </w:r>
          <w:proofErr w:type="spellStart"/>
          <w:r>
            <w:rPr>
              <w:rFonts w:ascii="Helvetica" w:hAnsi="Helvetica"/>
              <w:color w:val="005881"/>
              <w:sz w:val="12"/>
            </w:rPr>
            <w:t>Address</w:t>
          </w:r>
          <w:proofErr w:type="spellEnd"/>
          <w:r>
            <w:rPr>
              <w:rFonts w:ascii="Helvetica" w:hAnsi="Helvetica"/>
              <w:color w:val="005881"/>
              <w:sz w:val="12"/>
            </w:rPr>
            <w:t xml:space="preserve"> :</w:t>
          </w:r>
        </w:p>
      </w:tc>
    </w:tr>
    <w:tr w:rsidR="00D437C7" w14:paraId="70B78D92" w14:textId="77777777">
      <w:trPr>
        <w:trHeight w:val="126"/>
      </w:trPr>
      <w:tc>
        <w:tcPr>
          <w:tcW w:w="3425" w:type="dxa"/>
        </w:tcPr>
        <w:p w14:paraId="37A4877D" w14:textId="77777777" w:rsidR="00D437C7" w:rsidRDefault="00D437C7">
          <w:pPr>
            <w:pStyle w:val="Pieddepage"/>
            <w:rPr>
              <w:rFonts w:ascii="Helvetica" w:hAnsi="Helvetica"/>
              <w:color w:val="005881"/>
              <w:sz w:val="12"/>
            </w:rPr>
          </w:pPr>
          <w:r>
            <w:rPr>
              <w:rFonts w:ascii="Helvetica" w:hAnsi="Helvetica"/>
              <w:color w:val="005881"/>
              <w:sz w:val="12"/>
            </w:rPr>
            <w:t xml:space="preserve">13, </w:t>
          </w:r>
          <w:proofErr w:type="spellStart"/>
          <w:r>
            <w:rPr>
              <w:rFonts w:ascii="Helvetica" w:hAnsi="Helvetica"/>
              <w:color w:val="005881"/>
              <w:sz w:val="12"/>
            </w:rPr>
            <w:t>chemin</w:t>
          </w:r>
          <w:proofErr w:type="spellEnd"/>
          <w:r>
            <w:rPr>
              <w:rFonts w:ascii="Helvetica" w:hAnsi="Helvetica"/>
              <w:color w:val="005881"/>
              <w:sz w:val="12"/>
            </w:rPr>
            <w:t xml:space="preserve"> du </w:t>
          </w:r>
          <w:proofErr w:type="spellStart"/>
          <w:r>
            <w:rPr>
              <w:rFonts w:ascii="Helvetica" w:hAnsi="Helvetica"/>
              <w:color w:val="005881"/>
              <w:sz w:val="12"/>
            </w:rPr>
            <w:t>Levant</w:t>
          </w:r>
          <w:proofErr w:type="spellEnd"/>
        </w:p>
      </w:tc>
      <w:tc>
        <w:tcPr>
          <w:tcW w:w="978" w:type="dxa"/>
        </w:tcPr>
        <w:p w14:paraId="3DEE9F63" w14:textId="77777777" w:rsidR="00D437C7" w:rsidRDefault="00D437C7">
          <w:pPr>
            <w:pStyle w:val="Pieddepage"/>
            <w:rPr>
              <w:rFonts w:ascii="Helvetica" w:hAnsi="Helvetica"/>
              <w:color w:val="005881"/>
              <w:sz w:val="12"/>
            </w:rPr>
          </w:pPr>
          <w:r>
            <w:rPr>
              <w:rFonts w:ascii="Helvetica" w:hAnsi="Helvetica"/>
              <w:color w:val="005881"/>
              <w:sz w:val="12"/>
            </w:rPr>
            <w:t>Telephone</w:t>
          </w:r>
        </w:p>
      </w:tc>
      <w:tc>
        <w:tcPr>
          <w:tcW w:w="3116" w:type="dxa"/>
        </w:tcPr>
        <w:p w14:paraId="06657A60" w14:textId="77777777" w:rsidR="00D437C7" w:rsidRDefault="00D437C7">
          <w:pPr>
            <w:pStyle w:val="Pieddepage"/>
            <w:rPr>
              <w:rFonts w:ascii="Helvetica" w:hAnsi="Helvetica"/>
              <w:color w:val="005881"/>
              <w:sz w:val="12"/>
            </w:rPr>
          </w:pPr>
          <w:r>
            <w:rPr>
              <w:rFonts w:ascii="Helvetica" w:hAnsi="Helvetica"/>
              <w:color w:val="005881"/>
              <w:sz w:val="12"/>
            </w:rPr>
            <w:t>: (33) 4 50 40 75 75</w:t>
          </w:r>
        </w:p>
      </w:tc>
      <w:tc>
        <w:tcPr>
          <w:tcW w:w="2261" w:type="dxa"/>
        </w:tcPr>
        <w:p w14:paraId="7E146D71" w14:textId="77777777" w:rsidR="00D437C7" w:rsidRDefault="00D437C7">
          <w:pPr>
            <w:pStyle w:val="Pieddepage"/>
            <w:rPr>
              <w:rFonts w:ascii="Helvetica" w:hAnsi="Helvetica"/>
              <w:color w:val="005881"/>
              <w:sz w:val="12"/>
            </w:rPr>
          </w:pPr>
          <w:proofErr w:type="spellStart"/>
          <w:r>
            <w:rPr>
              <w:rFonts w:ascii="Helvetica" w:hAnsi="Helvetica"/>
              <w:color w:val="005881"/>
              <w:sz w:val="12"/>
            </w:rPr>
            <w:t>Boîte</w:t>
          </w:r>
          <w:proofErr w:type="spellEnd"/>
          <w:r>
            <w:rPr>
              <w:rFonts w:ascii="Helvetica" w:hAnsi="Helvetica"/>
              <w:color w:val="005881"/>
              <w:sz w:val="12"/>
            </w:rPr>
            <w:t xml:space="preserve"> </w:t>
          </w:r>
          <w:proofErr w:type="spellStart"/>
          <w:r>
            <w:rPr>
              <w:rFonts w:ascii="Helvetica" w:hAnsi="Helvetica"/>
              <w:color w:val="005881"/>
              <w:sz w:val="12"/>
            </w:rPr>
            <w:t>Postale</w:t>
          </w:r>
          <w:proofErr w:type="spellEnd"/>
          <w:r>
            <w:rPr>
              <w:rFonts w:ascii="Helvetica" w:hAnsi="Helvetica"/>
              <w:color w:val="005881"/>
              <w:sz w:val="12"/>
            </w:rPr>
            <w:t xml:space="preserve"> 63</w:t>
          </w:r>
        </w:p>
      </w:tc>
    </w:tr>
    <w:tr w:rsidR="00D437C7" w14:paraId="416D627B" w14:textId="77777777">
      <w:tc>
        <w:tcPr>
          <w:tcW w:w="3425" w:type="dxa"/>
        </w:tcPr>
        <w:p w14:paraId="4CBF0E41" w14:textId="77777777" w:rsidR="00D437C7" w:rsidRDefault="00D437C7">
          <w:pPr>
            <w:pStyle w:val="Pieddepage"/>
            <w:rPr>
              <w:rFonts w:ascii="Helvetica" w:hAnsi="Helvetica"/>
              <w:color w:val="005881"/>
              <w:sz w:val="12"/>
            </w:rPr>
          </w:pPr>
          <w:r>
            <w:rPr>
              <w:rFonts w:ascii="Helvetica" w:hAnsi="Helvetica"/>
              <w:color w:val="005881"/>
              <w:sz w:val="12"/>
            </w:rPr>
            <w:t>01210 FERNEY-VOLTAIRE</w:t>
          </w:r>
        </w:p>
      </w:tc>
      <w:tc>
        <w:tcPr>
          <w:tcW w:w="978" w:type="dxa"/>
        </w:tcPr>
        <w:p w14:paraId="5892A2F6" w14:textId="77777777" w:rsidR="00D437C7" w:rsidRDefault="00D437C7">
          <w:pPr>
            <w:pStyle w:val="Pieddepage"/>
            <w:rPr>
              <w:rFonts w:ascii="Helvetica" w:hAnsi="Helvetica"/>
              <w:color w:val="005881"/>
              <w:sz w:val="12"/>
            </w:rPr>
          </w:pPr>
          <w:r>
            <w:rPr>
              <w:rFonts w:ascii="Helvetica" w:hAnsi="Helvetica"/>
              <w:color w:val="005881"/>
              <w:sz w:val="12"/>
            </w:rPr>
            <w:t>Fax</w:t>
          </w:r>
        </w:p>
      </w:tc>
      <w:tc>
        <w:tcPr>
          <w:tcW w:w="3116" w:type="dxa"/>
        </w:tcPr>
        <w:p w14:paraId="0C829EEC" w14:textId="77777777" w:rsidR="00D437C7" w:rsidRDefault="00D437C7">
          <w:pPr>
            <w:pStyle w:val="Pieddepage"/>
            <w:rPr>
              <w:rFonts w:ascii="Helvetica" w:hAnsi="Helvetica"/>
              <w:color w:val="005881"/>
              <w:sz w:val="12"/>
            </w:rPr>
          </w:pPr>
          <w:r>
            <w:rPr>
              <w:rFonts w:ascii="Helvetica" w:hAnsi="Helvetica"/>
              <w:color w:val="005881"/>
              <w:sz w:val="12"/>
            </w:rPr>
            <w:t>: (33) 4 50 40 59 37</w:t>
          </w:r>
        </w:p>
      </w:tc>
      <w:tc>
        <w:tcPr>
          <w:tcW w:w="2261" w:type="dxa"/>
        </w:tcPr>
        <w:p w14:paraId="0A177843" w14:textId="77777777" w:rsidR="00D437C7" w:rsidRDefault="00D437C7">
          <w:pPr>
            <w:pStyle w:val="Pieddepage"/>
            <w:rPr>
              <w:rFonts w:ascii="Helvetica" w:hAnsi="Helvetica"/>
              <w:color w:val="005881"/>
              <w:sz w:val="12"/>
            </w:rPr>
          </w:pPr>
          <w:r>
            <w:rPr>
              <w:rFonts w:ascii="Helvetica" w:hAnsi="Helvetica"/>
              <w:color w:val="005881"/>
              <w:sz w:val="12"/>
            </w:rPr>
            <w:t xml:space="preserve">01210 FERNEY-VOLTAIRE </w:t>
          </w:r>
          <w:proofErr w:type="spellStart"/>
          <w:r>
            <w:rPr>
              <w:rFonts w:ascii="Helvetica" w:hAnsi="Helvetica"/>
              <w:color w:val="005881"/>
              <w:sz w:val="12"/>
            </w:rPr>
            <w:t>Cedex</w:t>
          </w:r>
          <w:proofErr w:type="spellEnd"/>
        </w:p>
      </w:tc>
    </w:tr>
    <w:tr w:rsidR="00D437C7" w14:paraId="6B2A0EAE" w14:textId="77777777">
      <w:tc>
        <w:tcPr>
          <w:tcW w:w="3425" w:type="dxa"/>
        </w:tcPr>
        <w:p w14:paraId="1C67CEBE" w14:textId="77777777" w:rsidR="00D437C7" w:rsidRDefault="00D437C7">
          <w:pPr>
            <w:pStyle w:val="Pieddepage"/>
            <w:rPr>
              <w:rFonts w:ascii="Helvetica" w:hAnsi="Helvetica"/>
              <w:color w:val="005881"/>
              <w:sz w:val="12"/>
            </w:rPr>
          </w:pPr>
          <w:r>
            <w:rPr>
              <w:rFonts w:ascii="Helvetica" w:hAnsi="Helvetica"/>
              <w:color w:val="005881"/>
              <w:sz w:val="12"/>
            </w:rPr>
            <w:t>France</w:t>
          </w:r>
        </w:p>
      </w:tc>
      <w:tc>
        <w:tcPr>
          <w:tcW w:w="978" w:type="dxa"/>
        </w:tcPr>
        <w:p w14:paraId="5573227E" w14:textId="77777777" w:rsidR="00D437C7" w:rsidRDefault="00D437C7">
          <w:pPr>
            <w:pStyle w:val="Pieddepage"/>
            <w:rPr>
              <w:rFonts w:ascii="Helvetica" w:hAnsi="Helvetica"/>
              <w:color w:val="005881"/>
              <w:sz w:val="12"/>
            </w:rPr>
          </w:pPr>
          <w:proofErr w:type="spellStart"/>
          <w:r>
            <w:rPr>
              <w:rFonts w:ascii="Helvetica" w:hAnsi="Helvetica"/>
              <w:color w:val="005881"/>
              <w:sz w:val="12"/>
            </w:rPr>
            <w:t>E-mail</w:t>
          </w:r>
          <w:proofErr w:type="spellEnd"/>
          <w:r>
            <w:rPr>
              <w:rFonts w:ascii="Helvetica" w:hAnsi="Helvetica"/>
              <w:color w:val="005881"/>
              <w:sz w:val="12"/>
            </w:rPr>
            <w:t xml:space="preserve"> </w:t>
          </w:r>
          <w:proofErr w:type="spellStart"/>
          <w:r>
            <w:rPr>
              <w:rFonts w:ascii="Helvetica" w:hAnsi="Helvetica"/>
              <w:color w:val="005881"/>
              <w:sz w:val="12"/>
            </w:rPr>
            <w:t>address</w:t>
          </w:r>
          <w:proofErr w:type="spellEnd"/>
        </w:p>
      </w:tc>
      <w:tc>
        <w:tcPr>
          <w:tcW w:w="3116" w:type="dxa"/>
        </w:tcPr>
        <w:p w14:paraId="3CFF22F3" w14:textId="77777777" w:rsidR="00D437C7" w:rsidRDefault="00D437C7">
          <w:pPr>
            <w:pStyle w:val="Pieddepage"/>
            <w:rPr>
              <w:rFonts w:ascii="Helvetica" w:hAnsi="Helvetica"/>
              <w:color w:val="005881"/>
              <w:sz w:val="12"/>
            </w:rPr>
          </w:pPr>
          <w:r>
            <w:rPr>
              <w:rFonts w:ascii="Helvetica" w:hAnsi="Helvetica"/>
              <w:color w:val="005881"/>
              <w:sz w:val="12"/>
            </w:rPr>
            <w:t>: wma@wma.net</w:t>
          </w:r>
        </w:p>
      </w:tc>
      <w:tc>
        <w:tcPr>
          <w:tcW w:w="2261" w:type="dxa"/>
        </w:tcPr>
        <w:p w14:paraId="22ECA2B0" w14:textId="77777777" w:rsidR="00D437C7" w:rsidRDefault="00D437C7">
          <w:pPr>
            <w:pStyle w:val="Pieddepage"/>
            <w:rPr>
              <w:rFonts w:ascii="Helvetica" w:hAnsi="Helvetica"/>
              <w:color w:val="005881"/>
              <w:sz w:val="12"/>
            </w:rPr>
          </w:pPr>
          <w:r>
            <w:rPr>
              <w:rFonts w:ascii="Helvetica" w:hAnsi="Helvetica"/>
              <w:color w:val="005881"/>
              <w:sz w:val="12"/>
            </w:rPr>
            <w:t>France</w:t>
          </w:r>
        </w:p>
      </w:tc>
    </w:tr>
  </w:tbl>
  <w:p w14:paraId="478213C2" w14:textId="77777777" w:rsidR="00D437C7" w:rsidRDefault="00D437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8B3D4" w14:textId="77777777" w:rsidR="00304552" w:rsidRDefault="00304552" w:rsidP="00564AF5">
      <w:r>
        <w:separator/>
      </w:r>
    </w:p>
  </w:footnote>
  <w:footnote w:type="continuationSeparator" w:id="0">
    <w:p w14:paraId="7043BEA6" w14:textId="77777777" w:rsidR="00304552" w:rsidRDefault="00304552" w:rsidP="00564AF5">
      <w:r>
        <w:continuationSeparator/>
      </w:r>
    </w:p>
  </w:footnote>
  <w:footnote w:id="1">
    <w:p w14:paraId="1B622A78" w14:textId="77777777" w:rsidR="00806C94" w:rsidRPr="00396DA4" w:rsidRDefault="00806C94" w:rsidP="00806C94">
      <w:pPr>
        <w:pStyle w:val="Notedebasdepage"/>
        <w:rPr>
          <w:lang w:val="en-US"/>
        </w:rPr>
      </w:pPr>
      <w:r>
        <w:rPr>
          <w:rStyle w:val="Appelnotedebasdep"/>
        </w:rPr>
        <w:footnoteRef/>
      </w:r>
      <w:r w:rsidRPr="00396DA4">
        <w:rPr>
          <w:lang w:val="en-US"/>
        </w:rPr>
        <w:t xml:space="preserve"> </w:t>
      </w:r>
      <w:r w:rsidRPr="004A78CE">
        <w:rPr>
          <w:rFonts w:ascii="Times" w:hAnsi="Times"/>
          <w:lang w:val="en-US"/>
        </w:rPr>
        <w:t>Working document for development of an action plan to strengthen implementation of the Global Strategy to Reduce the Harmful Use of Alcohol, 14th November 2020, p.</w:t>
      </w:r>
      <w:r>
        <w:rPr>
          <w:rFonts w:ascii="Times" w:hAnsi="Times"/>
          <w:lang w:val="en-US"/>
        </w:rPr>
        <w:t>5</w:t>
      </w:r>
    </w:p>
  </w:footnote>
  <w:footnote w:id="2">
    <w:p w14:paraId="2003FDA9" w14:textId="77777777" w:rsidR="00806C94" w:rsidRPr="004A78CE" w:rsidRDefault="00806C94" w:rsidP="00806C94">
      <w:pPr>
        <w:pStyle w:val="Notedebasdepage"/>
        <w:rPr>
          <w:lang w:val="en-US"/>
        </w:rPr>
      </w:pPr>
      <w:r>
        <w:rPr>
          <w:rStyle w:val="Appelnotedebasdep"/>
        </w:rPr>
        <w:footnoteRef/>
      </w:r>
      <w:r w:rsidRPr="004A78CE">
        <w:rPr>
          <w:lang w:val="en-US"/>
        </w:rPr>
        <w:t xml:space="preserve"> </w:t>
      </w:r>
      <w:r w:rsidRPr="004A78CE">
        <w:rPr>
          <w:rFonts w:ascii="Times" w:hAnsi="Times"/>
          <w:lang w:val="en-US"/>
        </w:rPr>
        <w:t>Working document for development of an action plan to strengthen implementation of the Global Strategy to Reduce the Harmful Use of Alcohol, 14th November 2020, p.2</w:t>
      </w:r>
    </w:p>
  </w:footnote>
  <w:footnote w:id="3">
    <w:p w14:paraId="5426FB7C" w14:textId="77777777" w:rsidR="00806C94" w:rsidRPr="00873AEF" w:rsidRDefault="00806C94" w:rsidP="00806C94">
      <w:pPr>
        <w:pStyle w:val="Notedebasdepage"/>
        <w:rPr>
          <w:lang w:val="en-US"/>
        </w:rPr>
      </w:pPr>
      <w:r>
        <w:rPr>
          <w:rStyle w:val="Appelnotedebasdep"/>
        </w:rPr>
        <w:footnoteRef/>
      </w:r>
      <w:r w:rsidRPr="00873AEF">
        <w:rPr>
          <w:lang w:val="en-US"/>
        </w:rPr>
        <w:t xml:space="preserve"> </w:t>
      </w:r>
      <w:r w:rsidRPr="00873AEF">
        <w:rPr>
          <w:rFonts w:ascii="Times" w:hAnsi="Times"/>
          <w:lang w:val="en-US"/>
        </w:rPr>
        <w:t>See below, item 3</w:t>
      </w:r>
    </w:p>
  </w:footnote>
  <w:footnote w:id="4">
    <w:p w14:paraId="768A9BA3" w14:textId="77777777" w:rsidR="00806C94" w:rsidRPr="006F4BE4" w:rsidRDefault="00806C94" w:rsidP="00806C94">
      <w:pPr>
        <w:pStyle w:val="Notedebasdepage"/>
        <w:rPr>
          <w:lang w:val="en-US"/>
        </w:rPr>
      </w:pPr>
      <w:r>
        <w:rPr>
          <w:rStyle w:val="Appelnotedebasdep"/>
        </w:rPr>
        <w:footnoteRef/>
      </w:r>
      <w:r w:rsidRPr="006F4BE4">
        <w:rPr>
          <w:lang w:val="en-US"/>
        </w:rPr>
        <w:t xml:space="preserve"> </w:t>
      </w:r>
      <w:r w:rsidRPr="004A78CE">
        <w:rPr>
          <w:rFonts w:ascii="Times" w:hAnsi="Times"/>
          <w:lang w:val="en-US"/>
        </w:rPr>
        <w:t>Working document for development of an action plan to strengthen implementation of the Global Strategy to Reduce the Harmful Use of Alcohol, 14th November 2020, p.</w:t>
      </w:r>
      <w:r>
        <w:rPr>
          <w:rFonts w:ascii="Times" w:hAnsi="Times"/>
          <w:lang w:val="en-US"/>
        </w:rPr>
        <w:t>4</w:t>
      </w:r>
    </w:p>
  </w:footnote>
  <w:footnote w:id="5">
    <w:p w14:paraId="3E81A304" w14:textId="77777777" w:rsidR="00806C94" w:rsidRPr="006F4BE4" w:rsidRDefault="00806C94" w:rsidP="00806C94">
      <w:pPr>
        <w:pStyle w:val="Notedebasdepage"/>
        <w:rPr>
          <w:lang w:val="en-US"/>
        </w:rPr>
      </w:pPr>
      <w:r>
        <w:rPr>
          <w:rStyle w:val="Appelnotedebasdep"/>
        </w:rPr>
        <w:footnoteRef/>
      </w:r>
      <w:r w:rsidRPr="006F4BE4">
        <w:rPr>
          <w:lang w:val="en-US"/>
        </w:rPr>
        <w:t xml:space="preserve"> </w:t>
      </w:r>
      <w:r w:rsidRPr="006F4BE4">
        <w:rPr>
          <w:rFonts w:ascii="Times" w:hAnsi="Times"/>
          <w:lang w:val="en-US"/>
        </w:rPr>
        <w:t xml:space="preserve">Action area 3: partnership, dialogue and </w:t>
      </w:r>
      <w:r>
        <w:rPr>
          <w:rFonts w:ascii="Times" w:hAnsi="Times"/>
          <w:lang w:val="en-US"/>
        </w:rPr>
        <w:t>coordination, p.16</w:t>
      </w:r>
    </w:p>
  </w:footnote>
  <w:footnote w:id="6">
    <w:p w14:paraId="0E57B263" w14:textId="77777777" w:rsidR="00806C94" w:rsidRPr="00873AEF" w:rsidRDefault="00806C94" w:rsidP="00806C94">
      <w:pPr>
        <w:pStyle w:val="Notedebasdepage"/>
        <w:rPr>
          <w:lang w:val="en-US"/>
        </w:rPr>
      </w:pPr>
      <w:r>
        <w:rPr>
          <w:rStyle w:val="Appelnotedebasdep"/>
        </w:rPr>
        <w:footnoteRef/>
      </w:r>
      <w:r w:rsidRPr="00873AEF">
        <w:rPr>
          <w:lang w:val="en-US"/>
        </w:rPr>
        <w:t xml:space="preserve"> </w:t>
      </w:r>
      <w:r w:rsidRPr="00873AEF">
        <w:rPr>
          <w:rFonts w:ascii="Times" w:hAnsi="Times"/>
          <w:lang w:val="en-US"/>
        </w:rPr>
        <w:t>See above, item 2</w:t>
      </w:r>
    </w:p>
  </w:footnote>
  <w:footnote w:id="7">
    <w:p w14:paraId="556342F3" w14:textId="77777777" w:rsidR="00806C94" w:rsidRPr="00B56821" w:rsidRDefault="00806C94" w:rsidP="00806C94">
      <w:pPr>
        <w:pStyle w:val="Notedebasdepage"/>
        <w:rPr>
          <w:lang w:val="en-US"/>
        </w:rPr>
      </w:pPr>
      <w:r>
        <w:rPr>
          <w:rStyle w:val="Appelnotedebasdep"/>
        </w:rPr>
        <w:footnoteRef/>
      </w:r>
      <w:r w:rsidRPr="00B56821">
        <w:rPr>
          <w:lang w:val="en-US"/>
        </w:rPr>
        <w:t xml:space="preserve"> </w:t>
      </w:r>
      <w:r w:rsidRPr="004A78CE">
        <w:rPr>
          <w:rFonts w:ascii="Times" w:hAnsi="Times"/>
          <w:lang w:val="en-US"/>
        </w:rPr>
        <w:t>Working document for development of an action plan to strengthen implementation of the Global Strategy to Reduce the Harmful Use of Alcohol, 14th November 2020, p.</w:t>
      </w:r>
      <w:r>
        <w:rPr>
          <w:rFonts w:ascii="Times" w:hAnsi="Times"/>
          <w:lang w:val="en-US"/>
        </w:rP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5ECD" w14:textId="77777777" w:rsidR="00D437C7" w:rsidRDefault="00D437C7">
    <w:pPr>
      <w:pStyle w:val="En-tte"/>
      <w:pBdr>
        <w:between w:val="single" w:sz="4" w:space="1" w:color="auto"/>
      </w:pBdr>
      <w:tabs>
        <w:tab w:val="clear" w:pos="4536"/>
        <w:tab w:val="clear" w:pos="9072"/>
        <w:tab w:val="right" w:pos="9639"/>
      </w:tabs>
      <w:rPr>
        <w:rStyle w:val="Numrodepage"/>
        <w:rFonts w:ascii="Univers" w:eastAsia="SimSun" w:hAnsi="Univers"/>
        <w:sz w:val="20"/>
        <w:szCs w:val="24"/>
        <w:lang w:val="en-GB" w:eastAsia="zh-CN"/>
      </w:rPr>
    </w:pPr>
    <w:r>
      <w:rPr>
        <w:rFonts w:ascii="Helvetica" w:hAnsi="Helvetica"/>
      </w:rPr>
      <w:t>WMA</w:t>
    </w:r>
    <w:r>
      <w:rPr>
        <w:rFonts w:ascii="Helvetica" w:hAnsi="Helvetica"/>
      </w:rPr>
      <w:tab/>
    </w:r>
    <w:proofErr w:type="spellStart"/>
    <w:r>
      <w:rPr>
        <w:rFonts w:ascii="Helvetica" w:hAnsi="Helvetica"/>
      </w:rPr>
      <w:t>page</w:t>
    </w:r>
    <w:proofErr w:type="spellEnd"/>
    <w:r>
      <w:rPr>
        <w:rFonts w:ascii="Helvetica" w:hAnsi="Helvetica"/>
      </w:rPr>
      <w:t xml:space="preserve"> </w:t>
    </w:r>
    <w:r>
      <w:rPr>
        <w:rStyle w:val="Numrodepage"/>
        <w:rFonts w:ascii="Helvetica" w:hAnsi="Helvetica"/>
      </w:rPr>
      <w:fldChar w:fldCharType="begin"/>
    </w:r>
    <w:r>
      <w:rPr>
        <w:rStyle w:val="Numrodepage"/>
        <w:rFonts w:ascii="Helvetica" w:hAnsi="Helvetica"/>
      </w:rPr>
      <w:instrText xml:space="preserve"> PAGE </w:instrText>
    </w:r>
    <w:r>
      <w:rPr>
        <w:rStyle w:val="Numrodepage"/>
        <w:rFonts w:ascii="Helvetica" w:hAnsi="Helvetica"/>
      </w:rPr>
      <w:fldChar w:fldCharType="separate"/>
    </w:r>
    <w:r w:rsidR="0053220E">
      <w:rPr>
        <w:rStyle w:val="Numrodepage"/>
        <w:rFonts w:ascii="Helvetica" w:hAnsi="Helvetica"/>
        <w:noProof/>
      </w:rPr>
      <w:t>2</w:t>
    </w:r>
    <w:r>
      <w:rPr>
        <w:rStyle w:val="Numrodepage"/>
        <w:rFonts w:ascii="Helvetica" w:hAnsi="Helvetica"/>
      </w:rPr>
      <w:fldChar w:fldCharType="end"/>
    </w:r>
  </w:p>
  <w:p w14:paraId="1E349D7D" w14:textId="77777777" w:rsidR="00D437C7" w:rsidRDefault="00D437C7">
    <w:pPr>
      <w:pStyle w:val="En-tte"/>
      <w:pBdr>
        <w:between w:val="single" w:sz="4" w:space="1" w:color="auto"/>
      </w:pBdr>
      <w:tabs>
        <w:tab w:val="clear" w:pos="4536"/>
        <w:tab w:val="clear" w:pos="9072"/>
        <w:tab w:val="right" w:pos="9639"/>
      </w:tabs>
      <w:rPr>
        <w:rFonts w:ascii="Helvetica" w:hAnsi="Helveti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9" w:type="dxa"/>
      <w:tblCellMar>
        <w:left w:w="70" w:type="dxa"/>
        <w:right w:w="70" w:type="dxa"/>
      </w:tblCellMar>
      <w:tblLook w:val="0000" w:firstRow="0" w:lastRow="0" w:firstColumn="0" w:lastColumn="0" w:noHBand="0" w:noVBand="0"/>
    </w:tblPr>
    <w:tblGrid>
      <w:gridCol w:w="6166"/>
      <w:gridCol w:w="3563"/>
    </w:tblGrid>
    <w:tr w:rsidR="00D437C7" w14:paraId="25092F55" w14:textId="77777777">
      <w:trPr>
        <w:trHeight w:val="2268"/>
      </w:trPr>
      <w:tc>
        <w:tcPr>
          <w:tcW w:w="6166" w:type="dxa"/>
        </w:tcPr>
        <w:p w14:paraId="574550C3" w14:textId="77777777" w:rsidR="00D437C7" w:rsidRDefault="00D437C7">
          <w:pPr>
            <w:jc w:val="center"/>
            <w:rPr>
              <w:rFonts w:ascii="Helvetica" w:hAnsi="Helvetica"/>
              <w:b/>
              <w:caps/>
              <w:color w:val="005881"/>
              <w:sz w:val="28"/>
            </w:rPr>
          </w:pPr>
        </w:p>
        <w:p w14:paraId="19382980" w14:textId="77777777" w:rsidR="00D437C7" w:rsidRDefault="00D437C7">
          <w:pPr>
            <w:jc w:val="center"/>
            <w:rPr>
              <w:rFonts w:ascii="Helvetica" w:hAnsi="Helvetica"/>
              <w:b/>
              <w:caps/>
              <w:color w:val="005881"/>
              <w:sz w:val="28"/>
            </w:rPr>
          </w:pPr>
          <w:r>
            <w:rPr>
              <w:rFonts w:ascii="Helvetica" w:hAnsi="Helvetica"/>
              <w:b/>
              <w:caps/>
              <w:color w:val="005881"/>
              <w:sz w:val="28"/>
            </w:rPr>
            <w:t>The World Medical Association, Inc.</w:t>
          </w:r>
        </w:p>
        <w:p w14:paraId="1A9CD31E" w14:textId="77777777" w:rsidR="00D437C7" w:rsidRPr="002A7E68" w:rsidRDefault="00D437C7">
          <w:pPr>
            <w:jc w:val="center"/>
            <w:rPr>
              <w:rFonts w:ascii="Helvetica" w:hAnsi="Helvetica"/>
              <w:b/>
              <w:caps/>
              <w:color w:val="005881"/>
              <w:sz w:val="18"/>
              <w:lang w:val="es-ES"/>
            </w:rPr>
          </w:pPr>
          <w:r w:rsidRPr="002A7E68">
            <w:rPr>
              <w:rFonts w:ascii="Helvetica" w:hAnsi="Helvetica"/>
              <w:b/>
              <w:caps/>
              <w:color w:val="005881"/>
              <w:sz w:val="18"/>
              <w:lang w:val="es-ES"/>
            </w:rPr>
            <w:t>L’association MedicalE Mondiale, Inc</w:t>
          </w:r>
        </w:p>
        <w:p w14:paraId="0D5BE18B" w14:textId="77777777" w:rsidR="00D437C7" w:rsidRDefault="00D437C7">
          <w:pPr>
            <w:pStyle w:val="Titre1"/>
            <w:rPr>
              <w:sz w:val="28"/>
            </w:rPr>
          </w:pPr>
          <w:r>
            <w:t>Asociacion medica Mundial, INC</w:t>
          </w:r>
        </w:p>
      </w:tc>
      <w:tc>
        <w:tcPr>
          <w:tcW w:w="3563" w:type="dxa"/>
        </w:tcPr>
        <w:p w14:paraId="18E85B74" w14:textId="77777777" w:rsidR="00D437C7" w:rsidRDefault="00D437C7">
          <w:pPr>
            <w:ind w:right="-50"/>
            <w:jc w:val="right"/>
          </w:pPr>
          <w:r>
            <w:rPr>
              <w:noProof/>
              <w:lang w:val="fr-FR" w:eastAsia="fr-FR"/>
            </w:rPr>
            <w:drawing>
              <wp:inline distT="0" distB="0" distL="0" distR="0" wp14:anchorId="29D723DB" wp14:editId="3D874301">
                <wp:extent cx="1689100" cy="1397000"/>
                <wp:effectExtent l="25400" t="0" r="0" b="0"/>
                <wp:docPr id="3" name="Bild 3" descr="Macintosh HD:Users:ok:Desktop:logo clean.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ok:Desktop:logo clean.pict"/>
                        <pic:cNvPicPr>
                          <a:picLocks noChangeAspect="1" noChangeArrowheads="1"/>
                        </pic:cNvPicPr>
                      </pic:nvPicPr>
                      <pic:blipFill>
                        <a:blip r:embed="rId1"/>
                        <a:srcRect/>
                        <a:stretch>
                          <a:fillRect/>
                        </a:stretch>
                      </pic:blipFill>
                      <pic:spPr bwMode="auto">
                        <a:xfrm>
                          <a:off x="0" y="0"/>
                          <a:ext cx="1689100" cy="1397000"/>
                        </a:xfrm>
                        <a:prstGeom prst="rect">
                          <a:avLst/>
                        </a:prstGeom>
                        <a:noFill/>
                        <a:ln w="9525">
                          <a:noFill/>
                          <a:miter lim="800000"/>
                          <a:headEnd/>
                          <a:tailEnd/>
                        </a:ln>
                      </pic:spPr>
                    </pic:pic>
                  </a:graphicData>
                </a:graphic>
              </wp:inline>
            </w:drawing>
          </w:r>
        </w:p>
      </w:tc>
    </w:tr>
  </w:tbl>
  <w:p w14:paraId="6C69A093" w14:textId="77777777" w:rsidR="00D437C7" w:rsidRDefault="00D437C7" w:rsidP="007A733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2433E9C"/>
    <w:multiLevelType w:val="hybridMultilevel"/>
    <w:tmpl w:val="64604F0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E8D2200"/>
    <w:multiLevelType w:val="hybridMultilevel"/>
    <w:tmpl w:val="3C7CB3AE"/>
    <w:lvl w:ilvl="0" w:tplc="88A476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D5"/>
    <w:rsid w:val="000A33C8"/>
    <w:rsid w:val="00153302"/>
    <w:rsid w:val="00185D8B"/>
    <w:rsid w:val="00186ADF"/>
    <w:rsid w:val="00215A67"/>
    <w:rsid w:val="002323E4"/>
    <w:rsid w:val="00240883"/>
    <w:rsid w:val="0024309F"/>
    <w:rsid w:val="00251697"/>
    <w:rsid w:val="002563BE"/>
    <w:rsid w:val="002726DC"/>
    <w:rsid w:val="002A7E68"/>
    <w:rsid w:val="002B256E"/>
    <w:rsid w:val="002E23F9"/>
    <w:rsid w:val="00300EFB"/>
    <w:rsid w:val="00304552"/>
    <w:rsid w:val="00307350"/>
    <w:rsid w:val="00336A22"/>
    <w:rsid w:val="003800E2"/>
    <w:rsid w:val="00383D64"/>
    <w:rsid w:val="00434CF4"/>
    <w:rsid w:val="004375E9"/>
    <w:rsid w:val="00452B92"/>
    <w:rsid w:val="004B2D43"/>
    <w:rsid w:val="004F7040"/>
    <w:rsid w:val="0050781A"/>
    <w:rsid w:val="00515FE4"/>
    <w:rsid w:val="0053220E"/>
    <w:rsid w:val="005338DF"/>
    <w:rsid w:val="00542D9E"/>
    <w:rsid w:val="00562EFD"/>
    <w:rsid w:val="00564AF5"/>
    <w:rsid w:val="00570A7A"/>
    <w:rsid w:val="005A36CE"/>
    <w:rsid w:val="006262D5"/>
    <w:rsid w:val="006443D6"/>
    <w:rsid w:val="0065431E"/>
    <w:rsid w:val="006653F4"/>
    <w:rsid w:val="00670812"/>
    <w:rsid w:val="0069752A"/>
    <w:rsid w:val="006B4A54"/>
    <w:rsid w:val="006B74FD"/>
    <w:rsid w:val="006D571F"/>
    <w:rsid w:val="006F5581"/>
    <w:rsid w:val="00750D2B"/>
    <w:rsid w:val="00763622"/>
    <w:rsid w:val="00773452"/>
    <w:rsid w:val="007A7330"/>
    <w:rsid w:val="007B3315"/>
    <w:rsid w:val="007B3971"/>
    <w:rsid w:val="007B6859"/>
    <w:rsid w:val="007B76CF"/>
    <w:rsid w:val="007C4EBA"/>
    <w:rsid w:val="00801BE8"/>
    <w:rsid w:val="00806C94"/>
    <w:rsid w:val="00833BD9"/>
    <w:rsid w:val="00852DCC"/>
    <w:rsid w:val="00861B2F"/>
    <w:rsid w:val="00950CEC"/>
    <w:rsid w:val="0098750B"/>
    <w:rsid w:val="009A1528"/>
    <w:rsid w:val="009A29B9"/>
    <w:rsid w:val="00A01167"/>
    <w:rsid w:val="00A04ED8"/>
    <w:rsid w:val="00A72DCF"/>
    <w:rsid w:val="00AB1F8C"/>
    <w:rsid w:val="00AF2340"/>
    <w:rsid w:val="00B47D3E"/>
    <w:rsid w:val="00BA331D"/>
    <w:rsid w:val="00BB1426"/>
    <w:rsid w:val="00BB20EB"/>
    <w:rsid w:val="00BB3CEC"/>
    <w:rsid w:val="00C747E4"/>
    <w:rsid w:val="00C80179"/>
    <w:rsid w:val="00CA01DD"/>
    <w:rsid w:val="00CB026C"/>
    <w:rsid w:val="00CD1A91"/>
    <w:rsid w:val="00CD75AF"/>
    <w:rsid w:val="00CF3400"/>
    <w:rsid w:val="00D075B5"/>
    <w:rsid w:val="00D2392B"/>
    <w:rsid w:val="00D432F9"/>
    <w:rsid w:val="00D437C7"/>
    <w:rsid w:val="00DD6706"/>
    <w:rsid w:val="00E05253"/>
    <w:rsid w:val="00E421B6"/>
    <w:rsid w:val="00E51C95"/>
    <w:rsid w:val="00E6064F"/>
    <w:rsid w:val="00E94DE5"/>
    <w:rsid w:val="00EA68D8"/>
    <w:rsid w:val="00F004E7"/>
    <w:rsid w:val="00F53254"/>
    <w:rsid w:val="00FA25C7"/>
    <w:rsid w:val="00FC582E"/>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3A0CCC7"/>
  <w15:docId w15:val="{809DC43E-8E9F-7E44-A2A1-D9B7D6CC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62D5"/>
    <w:rPr>
      <w:rFonts w:ascii="Univers" w:eastAsia="SimSun" w:hAnsi="Univers"/>
      <w:szCs w:val="24"/>
      <w:lang w:val="en-GB" w:eastAsia="zh-CN"/>
    </w:rPr>
  </w:style>
  <w:style w:type="paragraph" w:styleId="Titre1">
    <w:name w:val="heading 1"/>
    <w:basedOn w:val="Normal"/>
    <w:next w:val="Normal"/>
    <w:qFormat/>
    <w:rsid w:val="00256EB7"/>
    <w:pPr>
      <w:keepNext/>
      <w:jc w:val="center"/>
      <w:outlineLvl w:val="0"/>
    </w:pPr>
    <w:rPr>
      <w:rFonts w:ascii="Helvetica" w:eastAsia="Times New Roman" w:hAnsi="Helvetica"/>
      <w:b/>
      <w:caps/>
      <w:color w:val="005881"/>
      <w:sz w:val="18"/>
      <w:szCs w:val="20"/>
      <w:lang w:val="de-DE"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1"/>
    <w:uiPriority w:val="99"/>
    <w:semiHidden/>
    <w:unhideWhenUsed/>
    <w:rsid w:val="00D432FF"/>
    <w:rPr>
      <w:rFonts w:ascii="Lucida Grande" w:hAnsi="Lucida Grande"/>
      <w:sz w:val="18"/>
      <w:szCs w:val="18"/>
    </w:rPr>
  </w:style>
  <w:style w:type="character" w:customStyle="1" w:styleId="TextedebullesCar">
    <w:name w:val="Texte de bulles Car"/>
    <w:basedOn w:val="Policepardfaut"/>
    <w:uiPriority w:val="99"/>
    <w:semiHidden/>
    <w:rsid w:val="00D432FF"/>
    <w:rPr>
      <w:rFonts w:ascii="Lucida Grande" w:hAnsi="Lucida Grande"/>
      <w:sz w:val="18"/>
      <w:szCs w:val="18"/>
    </w:rPr>
  </w:style>
  <w:style w:type="character" w:customStyle="1" w:styleId="TextedebullesCar1">
    <w:name w:val="Texte de bulles Car1"/>
    <w:basedOn w:val="Policepardfaut"/>
    <w:link w:val="Textedebulles"/>
    <w:uiPriority w:val="99"/>
    <w:semiHidden/>
    <w:rsid w:val="00D432FF"/>
    <w:rPr>
      <w:rFonts w:ascii="Lucida Grande" w:hAnsi="Lucida Grande"/>
      <w:sz w:val="18"/>
      <w:szCs w:val="18"/>
    </w:rPr>
  </w:style>
  <w:style w:type="character" w:customStyle="1" w:styleId="Absatz-Standardschriftart">
    <w:name w:val="Absatz-Standardschriftart"/>
    <w:rsid w:val="00256EB7"/>
  </w:style>
  <w:style w:type="paragraph" w:styleId="En-tte">
    <w:name w:val="header"/>
    <w:basedOn w:val="Normal"/>
    <w:rsid w:val="00256EB7"/>
    <w:pPr>
      <w:tabs>
        <w:tab w:val="center" w:pos="4536"/>
        <w:tab w:val="right" w:pos="9072"/>
      </w:tabs>
    </w:pPr>
    <w:rPr>
      <w:rFonts w:ascii="Times New Roman" w:eastAsia="Times New Roman" w:hAnsi="Times New Roman"/>
      <w:sz w:val="24"/>
      <w:szCs w:val="20"/>
      <w:lang w:val="de-DE" w:eastAsia="de-DE"/>
    </w:rPr>
  </w:style>
  <w:style w:type="paragraph" w:styleId="Pieddepage">
    <w:name w:val="footer"/>
    <w:basedOn w:val="Normal"/>
    <w:rsid w:val="00256EB7"/>
    <w:pPr>
      <w:tabs>
        <w:tab w:val="center" w:pos="4536"/>
        <w:tab w:val="right" w:pos="9072"/>
      </w:tabs>
    </w:pPr>
    <w:rPr>
      <w:rFonts w:ascii="Times New Roman" w:eastAsia="Times New Roman" w:hAnsi="Times New Roman"/>
      <w:sz w:val="24"/>
      <w:szCs w:val="20"/>
      <w:lang w:val="de-DE" w:eastAsia="de-DE"/>
    </w:rPr>
  </w:style>
  <w:style w:type="character" w:styleId="Numrodepage">
    <w:name w:val="page number"/>
    <w:basedOn w:val="Absatz-Standardschriftart"/>
    <w:rsid w:val="00256EB7"/>
  </w:style>
  <w:style w:type="character" w:styleId="Lienhypertexte">
    <w:name w:val="Hyperlink"/>
    <w:basedOn w:val="Policepardfaut"/>
    <w:uiPriority w:val="99"/>
    <w:unhideWhenUsed/>
    <w:rsid w:val="00515FE4"/>
    <w:rPr>
      <w:color w:val="0000FF" w:themeColor="hyperlink"/>
      <w:u w:val="single"/>
    </w:rPr>
  </w:style>
  <w:style w:type="paragraph" w:styleId="NormalWeb">
    <w:name w:val="Normal (Web)"/>
    <w:basedOn w:val="Normal"/>
    <w:uiPriority w:val="99"/>
    <w:unhideWhenUsed/>
    <w:rsid w:val="00A72DCF"/>
    <w:pPr>
      <w:spacing w:before="100" w:beforeAutospacing="1" w:after="100" w:afterAutospacing="1"/>
    </w:pPr>
    <w:rPr>
      <w:rFonts w:ascii="Times New Roman" w:eastAsia="Times New Roman" w:hAnsi="Times New Roman"/>
      <w:sz w:val="24"/>
      <w:lang w:val="tr-TR" w:eastAsia="tr-TR"/>
    </w:rPr>
  </w:style>
  <w:style w:type="character" w:styleId="Mentionnonrsolue">
    <w:name w:val="Unresolved Mention"/>
    <w:basedOn w:val="Policepardfaut"/>
    <w:uiPriority w:val="99"/>
    <w:semiHidden/>
    <w:unhideWhenUsed/>
    <w:rsid w:val="00300EFB"/>
    <w:rPr>
      <w:color w:val="605E5C"/>
      <w:shd w:val="clear" w:color="auto" w:fill="E1DFDD"/>
    </w:rPr>
  </w:style>
  <w:style w:type="paragraph" w:styleId="Paragraphedeliste">
    <w:name w:val="List Paragraph"/>
    <w:basedOn w:val="Normal"/>
    <w:uiPriority w:val="34"/>
    <w:qFormat/>
    <w:rsid w:val="00806C94"/>
    <w:pPr>
      <w:ind w:left="720"/>
      <w:contextualSpacing/>
    </w:pPr>
    <w:rPr>
      <w:rFonts w:asciiTheme="minorHAnsi" w:eastAsiaTheme="minorHAnsi" w:hAnsiTheme="minorHAnsi" w:cstheme="minorBidi"/>
      <w:sz w:val="24"/>
      <w:lang w:val="fr-FR" w:eastAsia="en-US"/>
    </w:rPr>
  </w:style>
  <w:style w:type="paragraph" w:styleId="Notedebasdepage">
    <w:name w:val="footnote text"/>
    <w:basedOn w:val="Normal"/>
    <w:link w:val="NotedebasdepageCar"/>
    <w:uiPriority w:val="99"/>
    <w:semiHidden/>
    <w:unhideWhenUsed/>
    <w:rsid w:val="00806C94"/>
    <w:rPr>
      <w:rFonts w:asciiTheme="minorHAnsi" w:eastAsiaTheme="minorHAnsi" w:hAnsiTheme="minorHAnsi" w:cstheme="minorBidi"/>
      <w:szCs w:val="20"/>
      <w:lang w:val="fr-FR" w:eastAsia="en-US"/>
    </w:rPr>
  </w:style>
  <w:style w:type="character" w:customStyle="1" w:styleId="NotedebasdepageCar">
    <w:name w:val="Note de bas de page Car"/>
    <w:basedOn w:val="Policepardfaut"/>
    <w:link w:val="Notedebasdepage"/>
    <w:uiPriority w:val="99"/>
    <w:semiHidden/>
    <w:rsid w:val="00806C94"/>
    <w:rPr>
      <w:rFonts w:asciiTheme="minorHAnsi" w:eastAsiaTheme="minorHAnsi" w:hAnsiTheme="minorHAnsi" w:cstheme="minorBidi"/>
      <w:lang w:val="fr-FR" w:eastAsia="en-US"/>
    </w:rPr>
  </w:style>
  <w:style w:type="character" w:styleId="Appelnotedebasdep">
    <w:name w:val="footnote reference"/>
    <w:basedOn w:val="Policepardfaut"/>
    <w:uiPriority w:val="99"/>
    <w:semiHidden/>
    <w:unhideWhenUsed/>
    <w:rsid w:val="00806C94"/>
    <w:rPr>
      <w:vertAlign w:val="superscript"/>
    </w:rPr>
  </w:style>
  <w:style w:type="character" w:styleId="Lienhypertextesuivivisit">
    <w:name w:val="FollowedHyperlink"/>
    <w:basedOn w:val="Policepardfaut"/>
    <w:uiPriority w:val="99"/>
    <w:semiHidden/>
    <w:unhideWhenUsed/>
    <w:rsid w:val="00256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560">
      <w:bodyDiv w:val="1"/>
      <w:marLeft w:val="0"/>
      <w:marRight w:val="0"/>
      <w:marTop w:val="0"/>
      <w:marBottom w:val="0"/>
      <w:divBdr>
        <w:top w:val="none" w:sz="0" w:space="0" w:color="auto"/>
        <w:left w:val="none" w:sz="0" w:space="0" w:color="auto"/>
        <w:bottom w:val="none" w:sz="0" w:space="0" w:color="auto"/>
        <w:right w:val="none" w:sz="0" w:space="0" w:color="auto"/>
      </w:divBdr>
    </w:div>
    <w:div w:id="179122584">
      <w:bodyDiv w:val="1"/>
      <w:marLeft w:val="0"/>
      <w:marRight w:val="0"/>
      <w:marTop w:val="0"/>
      <w:marBottom w:val="0"/>
      <w:divBdr>
        <w:top w:val="none" w:sz="0" w:space="0" w:color="auto"/>
        <w:left w:val="none" w:sz="0" w:space="0" w:color="auto"/>
        <w:bottom w:val="none" w:sz="0" w:space="0" w:color="auto"/>
        <w:right w:val="none" w:sz="0" w:space="0" w:color="auto"/>
      </w:divBdr>
    </w:div>
    <w:div w:id="251089919">
      <w:bodyDiv w:val="1"/>
      <w:marLeft w:val="0"/>
      <w:marRight w:val="0"/>
      <w:marTop w:val="0"/>
      <w:marBottom w:val="0"/>
      <w:divBdr>
        <w:top w:val="none" w:sz="0" w:space="0" w:color="auto"/>
        <w:left w:val="none" w:sz="0" w:space="0" w:color="auto"/>
        <w:bottom w:val="none" w:sz="0" w:space="0" w:color="auto"/>
        <w:right w:val="none" w:sz="0" w:space="0" w:color="auto"/>
      </w:divBdr>
    </w:div>
    <w:div w:id="880946339">
      <w:bodyDiv w:val="1"/>
      <w:marLeft w:val="0"/>
      <w:marRight w:val="0"/>
      <w:marTop w:val="0"/>
      <w:marBottom w:val="0"/>
      <w:divBdr>
        <w:top w:val="none" w:sz="0" w:space="0" w:color="auto"/>
        <w:left w:val="none" w:sz="0" w:space="0" w:color="auto"/>
        <w:bottom w:val="none" w:sz="0" w:space="0" w:color="auto"/>
        <w:right w:val="none" w:sz="0" w:space="0" w:color="auto"/>
      </w:divBdr>
    </w:div>
    <w:div w:id="905073145">
      <w:bodyDiv w:val="1"/>
      <w:marLeft w:val="0"/>
      <w:marRight w:val="0"/>
      <w:marTop w:val="0"/>
      <w:marBottom w:val="0"/>
      <w:divBdr>
        <w:top w:val="none" w:sz="0" w:space="0" w:color="auto"/>
        <w:left w:val="none" w:sz="0" w:space="0" w:color="auto"/>
        <w:bottom w:val="none" w:sz="0" w:space="0" w:color="auto"/>
        <w:right w:val="none" w:sz="0" w:space="0" w:color="auto"/>
      </w:divBdr>
    </w:div>
    <w:div w:id="1086806921">
      <w:bodyDiv w:val="1"/>
      <w:marLeft w:val="0"/>
      <w:marRight w:val="0"/>
      <w:marTop w:val="0"/>
      <w:marBottom w:val="0"/>
      <w:divBdr>
        <w:top w:val="none" w:sz="0" w:space="0" w:color="auto"/>
        <w:left w:val="none" w:sz="0" w:space="0" w:color="auto"/>
        <w:bottom w:val="none" w:sz="0" w:space="0" w:color="auto"/>
        <w:right w:val="none" w:sz="0" w:space="0" w:color="auto"/>
      </w:divBdr>
    </w:div>
    <w:div w:id="1106734371">
      <w:bodyDiv w:val="1"/>
      <w:marLeft w:val="0"/>
      <w:marRight w:val="0"/>
      <w:marTop w:val="0"/>
      <w:marBottom w:val="0"/>
      <w:divBdr>
        <w:top w:val="none" w:sz="0" w:space="0" w:color="auto"/>
        <w:left w:val="none" w:sz="0" w:space="0" w:color="auto"/>
        <w:bottom w:val="none" w:sz="0" w:space="0" w:color="auto"/>
        <w:right w:val="none" w:sz="0" w:space="0" w:color="auto"/>
      </w:divBdr>
    </w:div>
    <w:div w:id="1208294263">
      <w:bodyDiv w:val="1"/>
      <w:marLeft w:val="0"/>
      <w:marRight w:val="0"/>
      <w:marTop w:val="0"/>
      <w:marBottom w:val="0"/>
      <w:divBdr>
        <w:top w:val="none" w:sz="0" w:space="0" w:color="auto"/>
        <w:left w:val="none" w:sz="0" w:space="0" w:color="auto"/>
        <w:bottom w:val="none" w:sz="0" w:space="0" w:color="auto"/>
        <w:right w:val="none" w:sz="0" w:space="0" w:color="auto"/>
      </w:divBdr>
    </w:div>
    <w:div w:id="1540510078">
      <w:bodyDiv w:val="1"/>
      <w:marLeft w:val="0"/>
      <w:marRight w:val="0"/>
      <w:marTop w:val="0"/>
      <w:marBottom w:val="0"/>
      <w:divBdr>
        <w:top w:val="none" w:sz="0" w:space="0" w:color="auto"/>
        <w:left w:val="none" w:sz="0" w:space="0" w:color="auto"/>
        <w:bottom w:val="none" w:sz="0" w:space="0" w:color="auto"/>
        <w:right w:val="none" w:sz="0" w:space="0" w:color="auto"/>
      </w:divBdr>
    </w:div>
    <w:div w:id="1684549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a.net/policies-post/wma-declaration-on-alcoho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ma.net/wp-content/uploads/2020/12/working-document-for-action-plan-web-consultation-november-2020-final.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E6B746-9DB4-304B-B179-8D6A176F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8952</Characters>
  <Application>Microsoft Office Word</Application>
  <DocSecurity>0</DocSecurity>
  <Lines>74</Lines>
  <Paragraphs>21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BÄK</Company>
  <LinksUpToDate>false</LinksUpToDate>
  <CharactersWithSpaces>10558</CharactersWithSpaces>
  <SharedDoc>false</SharedDoc>
  <HLinks>
    <vt:vector size="6" baseType="variant">
      <vt:variant>
        <vt:i4>1245201</vt:i4>
      </vt:variant>
      <vt:variant>
        <vt:i4>2236</vt:i4>
      </vt:variant>
      <vt:variant>
        <vt:i4>1025</vt:i4>
      </vt:variant>
      <vt:variant>
        <vt:i4>1</vt:i4>
      </vt:variant>
      <vt:variant>
        <vt:lpwstr>WMA - Logo 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 Delorme</dc:creator>
  <cp:lastModifiedBy>Clarisse Delorme</cp:lastModifiedBy>
  <cp:revision>3</cp:revision>
  <cp:lastPrinted>2020-12-07T14:33:00Z</cp:lastPrinted>
  <dcterms:created xsi:type="dcterms:W3CDTF">2020-12-07T14:33:00Z</dcterms:created>
  <dcterms:modified xsi:type="dcterms:W3CDTF">2020-12-07T14:33:00Z</dcterms:modified>
</cp:coreProperties>
</file>